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GPrüfbV — Erstmalige Anwendung</w:t>
      </w:r>
    </w:p>
    <w:p>
      <w:r>
        <w:rPr>
          <w:color w:val="555555"/>
          <w:sz w:val="18"/>
        </w:rPr>
        <w:t xml:space="preserve">Gegenpartei-Prüfbescheinigungsverordnung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Abweichend von § 4 beginnt der erstmalig prüfpflichtige Zeitraum am 1. April 2014.</w:t>
      </w:r>
    </w:p>
    <w:p>
      <w:r>
        <w:t xml:space="preserve">(2) Die Prüfung nach § 3 Absatz 1 ist erstmals ab dem Zeitpunkt im prüfpflichtigen Zeitraum durchzuführen, zu dem auch die Clearingpflicht nach Artikel 4 der Verordnung (EU) Nr. 648/2012 für die Derivatekontrakte, die von der prüfpflichtigen nichtfinanziellen Gegenpartei abgeschlossen wurden, aufgrund eines nach Artikel 5 Absatz 2 der Verordnung (EU) Nr. 648/2012 erlassenen technischen Regulierungsstandards in Kraft tritt.</w:t>
      </w:r>
    </w:p>
    <w:p>
      <w:r>
        <w:t xml:space="preserve">(3) Die Prüfung nach § 3 Absatz 4 Satz 1 hinsichtlich der Derivatekontrakte, die von der prüfpflichtigen nichtfinanziellen Gegenpartei abgeschlossen wurden, ist erstmals ab dem Zeitpunkt im prüfpflichtigen Zeitraum durchzuführen, zu dem der nach Artikel 11 Absatz 15 Unterabsatz 1 Buchstabe a in Verbindung mit Unterabsatz 3 der Verordnung (EU) Nr. 648/2012 erlassene technische Regulierungsstandard im Amtsblatt der Europäischen Union verkündet worden ist und die darin enthaltenen Pflichten in Kraft treten. Die Prüfung nach § 3 Absatz 4 Satz 2 hinsichtlich der Derivatekontrakte, die von der prüfpflichtigen nichtfinanziellen Gegenpartei abgeschlossen wurden, ist erstmals ab dem Zeitpunkt im prüfpflichtigen Zeitraum durchzuführen, zu dem der nach Artikel 11 Absatz 15 Unterabsatz 1 Buchstabe c und d in Verbindung mit Unterabsatz 3 der Verordnung (EU) Nr. 648/2012 erlassene technische Regulierungsstandard im Amtsblatt der Europäischen Union verkündet worden ist und die darin enthaltenen Pflichten in Kraft treten.</w:t>
      </w:r>
    </w:p>
    <w:p>
      <w:r>
        <w:t xml:space="preserve">(4) Für die Prüfung der Pflichten gemäß § 3 Absatz 6 beginnt der erstmalig prüfpflichtige Zeitraum am 3. Januar 2018.</w:t>
      </w:r>
    </w:p>
    <w:p>
      <w:r>
        <w:rPr>
          <w:color w:val="555555"/>
          <w:sz w:val="17"/>
        </w:rPr>
        <w:t xml:space="preserve">Zitiervorschlag: § 10 GPrüfbV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https://recht.nulegal.eu/gesetze/GPr%C3%BCfbV/10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