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GPatG — Inkrafttreten</w:t>
      </w:r>
    </w:p>
    <w:p>
      <w:r>
        <w:rPr>
          <w:color w:val="555555"/>
          <w:sz w:val="18"/>
        </w:rPr>
        <w:t xml:space="preserve">Gemeinschaftspatentgesetz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Artikel 1 Abs. 4, Artikel 8 Nr. 17 Buchstabe b und Artikel 14 treten am Tage nach der Verkündung dieses Gesetzes in Kraft.</w:t>
      </w:r>
    </w:p>
    <w:p>
      <w:r>
        <w:t xml:space="preserve">(3) Im übrigen tritt dieses Gesetz am 1. Januar 1981 in Kraft.</w:t>
      </w:r>
    </w:p>
    <w:p>
      <w:r>
        <w:rPr>
          <w:color w:val="555555"/>
          <w:sz w:val="17"/>
        </w:rPr>
        <w:t xml:space="preserve">Zitiervorschlag: Art 17 GPatG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