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GPatG — Neufassung des Patentgesetzes</w:t>
      </w:r>
    </w:p>
    <w:p>
      <w:r>
        <w:rPr>
          <w:color w:val="555555"/>
          <w:sz w:val="18"/>
        </w:rPr>
        <w:t xml:space="preserve">Gemeinschaftspatentgesetz</w:t>
      </w:r>
    </w:p>
    <w:p>
      <w:r>
        <w:rPr>
          <w:color w:val="555555"/>
          <w:sz w:val="18"/>
        </w:rPr>
        <w:t xml:space="preserve">Stand: 10.06.2019 (konsolidierte Textfassung, kein amtliches Inkrafttretensdatum)</w:t>
      </w:r>
    </w:p>
    <w:p>
      <w:r>
        <w:t xml:space="preserve">Der Bundesminister der Justiz kann den Wortlaut des Patentgesetzes in der vom Inkrafttreten dieses Gesetzes an geltenden Fassung mit der sich daraus ergebenden Bezeichnung der Paragraphen und Absätze im Bundesgesetzblatt bekanntmachen.</w:t>
      </w:r>
    </w:p>
    <w:p>
      <w:r>
        <w:rPr>
          <w:color w:val="555555"/>
          <w:sz w:val="17"/>
        </w:rPr>
        <w:t xml:space="preserve">Zitiervorschlag: Art 15 GPatG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