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GPatG — Anhängige gerichtliche Verfahren</w:t>
      </w:r>
    </w:p>
    <w:p>
      <w:r>
        <w:rPr>
          <w:color w:val="555555"/>
          <w:sz w:val="18"/>
        </w:rPr>
        <w:t xml:space="preserve">Gemeinschaftspatentgesetz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110 Abs. 4 Satz 1 des Patentgesetzes ist in der Fassung dieses Gesetzes nicht auf gerichtliche Verfahren anzuwenden, die bei Inkrafttreten dieses Gesetzes beim Bundespatentgericht anhängig sind; insoweit verbleibt es bei der bisher geltenden Vorschrift.</w:t>
      </w:r>
    </w:p>
    <w:p>
      <w:r>
        <w:t xml:space="preserve">(2) § 121 des Patentgesetzes ist in der Fassung dieses Gesetzes nicht auf gerichtliche Verfahren anzuwenden, die bei Inkrafttreten dieses Gesetzes beim Bundesgerichtshof anhängig sind; insoweit verbleibt es bei der bisher geltenden Vorschrift.</w:t>
      </w:r>
    </w:p>
    <w:p>
      <w:r>
        <w:rPr>
          <w:color w:val="555555"/>
          <w:sz w:val="17"/>
        </w:rPr>
        <w:t xml:space="preserve">Zitiervorschlag: Art 13 GPatG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