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GPatG — Anwendung und Änderung von Artikel II des Gesetzes über internationale Patentübereinkommen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1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