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GPV — (zu § 2 Absatz 1) Anforderungen an die fachgerechte Untersuchung und Beurteilung von Gegen- oder Zweitproben</w:t>
      </w:r>
    </w:p>
    <w:p>
      <w:r>
        <w:rPr>
          <w:color w:val="555555"/>
          <w:sz w:val="18"/>
        </w:rPr>
        <w:t xml:space="preserve">Gegenproben-Verordnung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2009, 2855)</w:t>
      </w:r>
    </w:p>
    <w:p>
      <w:pPr>
        <w:ind w:left="420"/>
      </w:pPr>
      <w:r>
        <w:t xml:space="preserve">1. Prüfung der Unverletztheit des amtlichen Siegels und der Veränderungen der Gegen- oder Zweitprobe bzw. ihrer Verpackung,</w:t>
      </w:r>
    </w:p>
    <w:p>
      <w:pPr>
        <w:ind w:left="420"/>
      </w:pPr>
      <w:r>
        <w:t xml:space="preserve">2. Identifizierung und Zustandsbeschreibung der Gegen- oder Zweitprobe, so dass ihre Übereinstimmung mit der Probe oder ihre Gleichartigkeit festgestellt werden kann,</w:t>
      </w:r>
    </w:p>
    <w:p>
      <w:pPr>
        <w:ind w:left="420"/>
      </w:pPr>
      <w:r>
        <w:t xml:space="preserve">3. Festlegung des fachlichen Untersuchungsziels und dessen Umfangs,</w:t>
      </w:r>
    </w:p>
    <w:p>
      <w:pPr>
        <w:ind w:left="420"/>
      </w:pPr>
      <w:r>
        <w:t xml:space="preserve">4. bevorzugte Anwendung von Untersuchungsverfahren der amtlichen Sammlung nach § 64 des Lebensmittel- und Futtermittelgesetzbuches, falls diese für den Untersuchungszweck zur Verfügung stehen; Anwendung davon abweichender Untersuchungsverfahren nur in begründeten Fällen, wenn die Gleichwertigkeit unter Beachtung von Qualitätskriterien nachgewiesen wird; dabei Angabe der verwendeten Untersuchungsverfahren,</w:t>
      </w:r>
    </w:p>
    <w:p>
      <w:pPr>
        <w:ind w:left="420"/>
      </w:pPr>
      <w:r>
        <w:t xml:space="preserve">5. Zusammenfassung und Freigabe der Einzelergebnisse aus Untersuchungen zu Untersuchungsprotokollen entsprechend den Vorgaben der Norm DIN EN ISO/IEC 17025:2005 in der jeweils gültigen Fassung,</w:t>
      </w:r>
    </w:p>
    <w:p>
      <w:pPr>
        <w:ind w:left="420"/>
      </w:pPr>
      <w:r>
        <w:t xml:space="preserve">6. Aufnahme in die Gutachten insbesondere von</w:t>
      </w:r>
    </w:p>
    <w:p>
      <w:pPr>
        <w:ind w:left="780"/>
      </w:pPr>
      <w:r>
        <w:t xml:space="preserve">a) Name der oder des Gegenprobensachverständigen,</w:t>
      </w:r>
    </w:p>
    <w:p>
      <w:pPr>
        <w:ind w:left="780"/>
      </w:pPr>
      <w:r>
        <w:t xml:space="preserve">b) Angabe der Zulassung gemäß § 3 Absatz 6,</w:t>
      </w:r>
    </w:p>
    <w:p>
      <w:pPr>
        <w:ind w:left="780"/>
      </w:pPr>
      <w:r>
        <w:t xml:space="preserve">c) Angabe des Geltungsbereiches der Akkreditierung,</w:t>
      </w:r>
    </w:p>
    <w:p>
      <w:pPr>
        <w:ind w:left="780"/>
      </w:pPr>
      <w:r>
        <w:t xml:space="preserve">d) Angabe der Kenn-Nummer des betreffenden Prüflaboratoriums,</w:t>
      </w:r>
    </w:p>
    <w:p>
      <w:pPr>
        <w:ind w:left="780"/>
      </w:pPr>
      <w:r>
        <w:t xml:space="preserve">e) technische Angaben zu den Untersuchungsergebnissen entsprechend den Angaben in Prüfberichten akkreditierter Prüflaboratorien,</w:t>
      </w:r>
    </w:p>
    <w:p>
      <w:pPr>
        <w:ind w:left="780"/>
      </w:pPr>
      <w:r>
        <w:t xml:space="preserve">f) Beurteilung der für das Gutachten relevanten Werte der Untersuchungsprotokolle,</w:t>
      </w:r>
    </w:p>
    <w:p>
      <w:pPr>
        <w:ind w:left="780"/>
      </w:pPr>
      <w:r>
        <w:t xml:space="preserve">g) Kenntlichmachung der im Unterauftrag vergebenen Einzeluntersuchungen sowie Angabe des Namens und der Kenn-Nummer des Unterauftragnehmers,</w:t>
      </w:r>
    </w:p>
    <w:p>
      <w:pPr>
        <w:ind w:left="780"/>
      </w:pPr>
      <w:r>
        <w:t xml:space="preserve">h) Erklärung zur Übernahme der fachlichen Gesamtverantwortung für das Gutachten sowie zur unparteilichen Durchführung der Gegenprobenuntersuchungen,</w:t>
      </w:r>
    </w:p>
    <w:p>
      <w:pPr>
        <w:ind w:left="420"/>
      </w:pPr>
      <w:r>
        <w:t xml:space="preserve">7. Aufbewahrung der für die Untersuchung und Bewertung der Gegen- oder Zweitprobe relevanten Aufzeichnungen über einen Zeitraum von fünf Jahren,</w:t>
      </w:r>
    </w:p>
    <w:p>
      <w:pPr>
        <w:ind w:left="420"/>
      </w:pPr>
      <w:r>
        <w:t xml:space="preserve">8. Teilnahme an Fortbildungsveranstaltungen, um die erworbenen Kenntnisse zu erweitern und auf dem neuesten Stand zu halten; die Teilnahmenachweise sind fünf Jahre lang aufzubewahren und der zuständigen Behörde auf Verlangen vorzulegen.</w:t>
      </w:r>
    </w:p>
    <w:p>
      <w:r>
        <w:rPr>
          <w:color w:val="555555"/>
          <w:sz w:val="17"/>
        </w:rPr>
        <w:t xml:space="preserve">Zitiervorschlag: Anlage 1 GPV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