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GPV — Zulassungsverfahren</w:t>
      </w:r>
    </w:p>
    <w:p>
      <w:r>
        <w:rPr>
          <w:color w:val="555555"/>
          <w:sz w:val="18"/>
        </w:rPr>
        <w:t xml:space="preserve">Gegenproben-Verordnung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Zulassung ist schriftlich oder elektronisch bei der zuständigen Behörde zu stellen. In dem Antrag ist anzugeben, für welches Untersuchungsgebiet die Zulassung beantragt wird.</w:t>
      </w:r>
    </w:p>
    <w:p>
      <w:r>
        <w:t xml:space="preserve">(2) Dem Antrag sind im Original oder in beglaubigter Kopie beizufügen:</w:t>
      </w:r>
    </w:p>
    <w:p>
      <w:pPr>
        <w:ind w:left="420"/>
      </w:pPr>
      <w:r>
        <w:t xml:space="preserve">1. ein Lebenslauf,</w:t>
      </w:r>
    </w:p>
    <w:p>
      <w:pPr>
        <w:ind w:left="420"/>
      </w:pPr>
      <w:r>
        <w:t xml:space="preserve">2. ein Nachweis über das Vorliegen der Zulassungsvoraussetzungen nach § 2 Absatz 1 und 2,</w:t>
      </w:r>
    </w:p>
    <w:p>
      <w:pPr>
        <w:ind w:left="420"/>
      </w:pPr>
      <w:r>
        <w:t xml:space="preserve">3. eine Erklärung des Antragstellers, dass kein Strafverfahren oder staatsanwaltliches Ermittlungsverfahren anhängig ist,</w:t>
      </w:r>
    </w:p>
    <w:p>
      <w:pPr>
        <w:ind w:left="420"/>
      </w:pPr>
      <w:r>
        <w:t xml:space="preserve">4. ein Führungszeugnis nach § 30 Absatz 1 des Bundeszentralregistergesetzes in der Fassung der Bekanntmachung vom 21. September 1984 (BGBl. I S. 1229; 1985 I S. 195), das zuletzt durch Artikel 3 Absatz 2 des Gesetzes vom 17. Juli 2009 (BGBl. I S. 2062) geändert worden ist,</w:t>
      </w:r>
    </w:p>
    <w:p>
      <w:pPr>
        <w:ind w:left="420"/>
      </w:pPr>
      <w:r>
        <w:t xml:space="preserve">5. eine Erklärung des Antragstellers, dass bei ihm kein Ausschlussgrund nach § 2 Absatz 3 vorliegt und dass die Tätigkeit als Gegenprobensachverständige oder Gegenprobensachverständiger unabhängig und frei von einem Interessenkonflikt ausgeführt werden kann.</w:t>
      </w:r>
    </w:p>
    <w:p>
      <w:r>
        <w:t xml:space="preserve">Ferner sind die Anschrift des Hauptsitzes der oder des Gegenprobensachverständigen und die Anschrift des Sitzes des jeweils nach § 5 akkreditierten Prüflaboratoriums sowie dessen von der Akkreditierungsstelle im Sinne des § 1 Absatz 1 Satz 1 des Akkreditierungsstellengesetzes vergebene Registrierungsnummer anzugeben.</w:t>
      </w:r>
    </w:p>
    <w:p>
      <w:r>
        <w:t xml:space="preserve">(3) Handelt es sich bei dem Antragsteller um eine Person nach § 2 Absatz 2 Satz 1, sind dem Antrag die Unterlagen nach Absatz 2 Satz 1 Nummer 1 bis 3 und 5 beizufügen, die Angaben nach Satz 2 zu machen und, sofern die für die Zulassung zuständige Behörde dies zur sachgerechten Bearbeitung des Antrages auf Zulassung als erforderlich ansieht, die Dokumente in beglaubigter Übersetzung beizufügen.</w:t>
      </w:r>
    </w:p>
    <w:p>
      <w:r>
        <w:t xml:space="preserve">(4) Die Unterlagen nach Absatz 2, ausgenommen Ausbildungs- und Befähigungsnachweise nach § 2 Absatz 1 und 2, dürfen bei Antragstellung nicht älter als drei Monate sein.</w:t>
      </w:r>
    </w:p>
    <w:p>
      <w:r>
        <w:t xml:space="preserve">(5) Der Antragsteller unterzeichnet eine Verpflichtungserklärung nach Anlage 3. Der Antragsteller erhält eine Abschrift der Verpflichtungserklärung.</w:t>
      </w:r>
    </w:p>
    <w:p>
      <w:r>
        <w:t xml:space="preserve">(6) Die Zulassung ist zu erteilen, wenn die Zulassungsvoraussetzungen nach § 2 Absatz 1 und 2 erfüllt sind und der Antragsteller die Verpflichtungserklärung nach Absatz 5 unterzeichnet hat. Die Zulassung eines Gegenprobensachverständigen wird für das beantragte Untersuchungsgebiet erteilt.</w:t>
      </w:r>
    </w:p>
    <w:p>
      <w:r>
        <w:t xml:space="preserve">(7) Der Zulassungsinhaber hat der zuständigen Behörde Änderungen, die seine Zulassung betreffen, unverzüglich mitzuteilen. Für die Verwaltungszusammenarbeit ist Artikel 8 in Verbindung mit Artikel 56 der Richtlinie 2005/36/EG des Europäischen Parlaments und des Rates vom 7. September 2005 über die Anerkennung von Berufsqualifikationen (ABl. L 255 vom 30.9.2005, S. 22) in der jeweils geltenden Fassung anzuwenden.</w:t>
      </w:r>
    </w:p>
    <w:p>
      <w:r>
        <w:rPr>
          <w:color w:val="555555"/>
          <w:sz w:val="17"/>
        </w:rPr>
        <w:t xml:space="preserve">Zitiervorschlag: § 3 GPV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