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GPSGV 2 — Umstände, unter denen die Pflichten des Herstellers auch für Einführer und Händler gelten</w:t>
      </w:r>
    </w:p>
    <w:p>
      <w:r>
        <w:rPr>
          <w:color w:val="555555"/>
          <w:sz w:val="18"/>
        </w:rPr>
        <w:t xml:space="preserve">Zweite Verordnung zum Produktsicherheitsgesetz (Verordnung über die Sicherheit von Spielzeug)</w:t>
      </w:r>
    </w:p>
    <w:p>
      <w:r>
        <w:rPr>
          <w:color w:val="555555"/>
          <w:sz w:val="18"/>
        </w:rPr>
        <w:t xml:space="preserve">Stand: 10.06.2019 (konsolidierte Textfassung, kein amtliches Inkrafttretensdatum)</w:t>
      </w:r>
    </w:p>
    <w:p>
      <w:r>
        <w:t xml:space="preserve">Ein Einführer oder Händler gilt für die Zwecke dieser Verordnung als Hersteller und unterliegt den Verpflichtungen für Hersteller gemäß den §§ 3 und 4, wenn er ein Spielzeug unter seinem eigenen Namen oder seiner eigenen Marke in den Verkehr bringt oder ein bereits auf dem Markt befindliches Spielzeug so verändert, dass die Übereinstimmung mit den geltenden Anforderungen beeinträchtigt werden kann.</w:t>
      </w:r>
    </w:p>
    <w:p>
      <w:r>
        <w:rPr>
          <w:color w:val="555555"/>
          <w:sz w:val="17"/>
        </w:rPr>
        <w:t xml:space="preserve">Zitiervorschlag: § 8 GPSGV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https://recht.nulegal.eu/gesetze/GPSGV%202/8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