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GPSGV 2 — Übergangvorschriften</w:t>
      </w:r>
    </w:p>
    <w:p>
      <w:r>
        <w:rPr>
          <w:color w:val="555555"/>
          <w:sz w:val="18"/>
        </w:rPr>
        <w:t xml:space="preserve">Zweite Verordnung zum Produktsicherheitsgesetz (Verordnung über die Sicherheit von Spielzeug)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Spielzeug, das vor dem 20. Juli 2011 in den Verkehr gebracht wurde, ist diese Verordnung nicht anzuwenden.</w:t>
      </w:r>
    </w:p>
    <w:p>
      <w:r>
        <w:t xml:space="preserve">(2) Auf Spielzeug, das ab dem 20. Juli 2011 und vor dem 20. Juli 2013 in den Verkehr gebracht wird, ist bis zum Ablauf des 19. Juli 2013 abweichend von § 10 Absatz 1 dieser Verordnung der Anhang II Teil II Nummer 3 der Richtlinie 88/378/EWG des Rates vom 3. Mai 1988 zur Angleichung der Rechtsvorschriften der Mitgliedstaaten über die Sicherheit von Spielzeug (ABl. L 187 vom 16.7.1988, S. 1), in ihrer bis 20. Juli 2011 geltenden Fassung anzuwenden.</w:t>
      </w:r>
    </w:p>
    <w:p>
      <w:r>
        <w:rPr>
          <w:color w:val="555555"/>
          <w:sz w:val="17"/>
        </w:rPr>
        <w:t xml:space="preserve">Zitiervorschlag: § 23 GPSGV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https://recht.nulegal.eu/gesetze/GPSGV%202/23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