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GPSGV 2 — Informationsaustausch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Handelt es sich bei einer in § 20 Absatz 3 genannten Maßnahme um eine Maßnahme, die gemäß Artikel 22 der Verordnung (EG) Nr. 765/2008 gemeldet werden muss, so ist eine gesonderte Unterrichtung gemäß § 20 Absatz 3 nicht erforderlich, wenn:</w:t>
      </w:r>
    </w:p>
    <w:p>
      <w:pPr>
        <w:ind w:left="420"/>
      </w:pPr>
      <w:r>
        <w:t xml:space="preserve">1. in der Meldung gemäß § 17 Absatz 3 Satz 2 des Marktüberwachungsgesetzes darauf hingewiesen wird, dass auch die vorliegende Verordnung die Notifizierung der Maßnahme vorschreibt, und</w:t>
      </w:r>
    </w:p>
    <w:p>
      <w:pPr>
        <w:ind w:left="420"/>
      </w:pPr>
      <w:r>
        <w:t xml:space="preserve">2. die in § 20 Absatz 4 genannten Belege der Meldung gemäß § 17 Absatz 3 Satz 2 des Marktüberwachungsgesetzes beiliegen.</w:t>
      </w:r>
    </w:p>
    <w:p>
      <w:r>
        <w:rPr>
          <w:color w:val="555555"/>
          <w:sz w:val="17"/>
        </w:rPr>
        <w:t xml:space="preserve">Zitiervorschlag: § 21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