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GPSGV 2 — Begriffsbestimmungen</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Im Sinne dieser Verordnung</w:t>
      </w:r>
    </w:p>
    <w:p>
      <w:pPr>
        <w:ind w:left="420"/>
      </w:pPr>
      <w:r>
        <w:t xml:space="preserve">1. ist Aktivitätsspielzeug, ein Spielzeug zur Verwendung im Haushalt, dessen tragende Struktur während der Aktivität ortsfest bleibt und das für folgende Aktivitäten von Kindern bestimmt ist: Klettern, Springen, Schwingen, Rutschen, Schaukeln, Drehen, Kriechen oder Krabbeln oder eine Kombination dieser Tätigkeiten;</w:t>
      </w:r>
    </w:p>
    <w:p>
      <w:pPr>
        <w:ind w:left="420"/>
      </w:pPr>
      <w:r>
        <w:t xml:space="preserve">2. ist bauartbedingte Höchstgeschwindigkeit die repräsentative Betriebsgeschwindigkeit, die ein Spielzeug aufgrund seiner Bauart erreichen kann;</w:t>
      </w:r>
    </w:p>
    <w:p>
      <w:pPr>
        <w:ind w:left="420"/>
      </w:pPr>
      <w:r>
        <w:t xml:space="preserve">3. ist Bereitstellung auf dem Markt jede entgeltliche oder unentgeltliche Abgabe eines Spielzeugs zum Vertrieb, Verbrauch oder zur Verwendung auf dem Markt der Europäischen Union im Rahmen einer Geschäftstätigkeit;</w:t>
      </w:r>
    </w:p>
    <w:p>
      <w:pPr>
        <w:ind w:left="420"/>
      </w:pPr>
      <w:r>
        <w:t xml:space="preserve">4. ist Bevollmächtigter jede in der Europäischen Union ansässige natürliche oder juristische Person, die der Hersteller schriftlich beauftragt hat, in seinem Namen bestimmte Aufgaben wahrzunehmen;</w:t>
      </w:r>
    </w:p>
    <w:p>
      <w:pPr>
        <w:ind w:left="420"/>
      </w:pPr>
      <w:r>
        <w:t xml:space="preserve">5. ist Brettspiel für den Geruchssinn ein Spielzeug, dessen Zweck darin besteht, Kindern dabei zu helfen, das Erkennen verschiedener Gerüche oder Düfte zu erlernen;</w:t>
      </w:r>
    </w:p>
    <w:p>
      <w:pPr>
        <w:ind w:left="420"/>
      </w:pPr>
      <w:r>
        <w:t xml:space="preserve">6. ist CE-Kennzeichnung die Kennzeichnung, durch die der Hersteller erklärt, dass das Produkt den geltenden Anforderungen genügt, die in den Harmonisierungsrechtsvorschriften der Europäischen Union über ihre Anbringung festgelegt sind;</w:t>
      </w:r>
    </w:p>
    <w:p>
      <w:pPr>
        <w:ind w:left="420"/>
      </w:pPr>
      <w:r>
        <w:t xml:space="preserve">7. ist chemisches Spielzeug ein Spielzeug, das für den direkten Umgang mit chemischen Stoffen und Gemischen bei altersgemäßer Verwendung unter der Aufsicht von Erwachsenen bestimmt ist;</w:t>
      </w:r>
    </w:p>
    <w:p>
      <w:pPr>
        <w:ind w:left="420"/>
      </w:pPr>
      <w:r>
        <w:t xml:space="preserve">8. ist Einführer jede in der Europäischen Union ansässige natürliche oder juristische Person, die ein Spielzeug aus einem Staat, der nicht dem Europäischen Wirtschaftsraum angehört, in den Verkehr bringt;</w:t>
      </w:r>
    </w:p>
    <w:p>
      <w:pPr>
        <w:ind w:left="420"/>
      </w:pPr>
      <w:r>
        <w:t xml:space="preserve">9. ist funktionelles Produkt ein Produkt, das auf die gleiche Art und Weise wie ein Produkt, ein Gerät oder eine Anlage funktioniert und benutzt wird, das oder die zum Gebrauch durch Erwachsene bestimmt ist; dabei kann es sich um ein maßstabsgetreues Kleinmodell eines derartigen Produkts oder Gerätes oder einer derartigen Anlage handeln;</w:t>
      </w:r>
    </w:p>
    <w:p>
      <w:pPr>
        <w:ind w:left="420"/>
      </w:pPr>
      <w:r>
        <w:t xml:space="preserve">10. ist funktionelles Spielzeug ein Spielzeug, das dieselben Funktionen erfüllt und so benutzt wird wie ein Produkt, ein Gerät oder eine Einrichtung, das oder die zum Gebrauch für Erwachsene bestimmt ist. Dabei kann es sich um ein maßstabsgetreues Kleinmodell eines derartigen Produkts oder Gerätes oder einer derartigen Einrichtung handeln;</w:t>
      </w:r>
    </w:p>
    <w:p>
      <w:pPr>
        <w:ind w:left="420"/>
      </w:pPr>
      <w:r>
        <w:t xml:space="preserve">11. ist Gefahr die mögliche Ursache eines Schadens;</w:t>
      </w:r>
    </w:p>
    <w:p>
      <w:pPr>
        <w:ind w:left="420"/>
      </w:pPr>
      <w:r>
        <w:t xml:space="preserve">12. ist Händler jede natürliche oder juristische Person in der Lieferkette, die ein Spielzeug auf dem Markt bereitstellt, mit Ausnahme des Herstellers und des Einführers;</w:t>
      </w:r>
    </w:p>
    <w:p>
      <w:pPr>
        <w:ind w:left="420"/>
      </w:pPr>
      <w:r>
        <w:t xml:space="preserve">13. ist harmonisierte Norm eine Norm, die von einem der in Anhang I der Richtlinie 98/34/EG des Europäischen Parlaments und des Rates vom 22. Juni 1998 über ein Informationsverfahren auf dem Gebiet der Normen und technischen Vorschriften und der Vorschriften für die Dienste der Informationsgesellschaft (ABl. L 204 vom 21.7.1998, S. 37), zuletzt geändert durch die Richtlinie 2006/96/EG des Rates (ABl. L 363 vom 20.12.2006, S. 81), anerkannten europäischen Normungsgremien auf der Grundlage eines Ersuchens der Kommission nach Artikel 6 jener Richtlinie erstellt wurde;</w:t>
      </w:r>
    </w:p>
    <w:p>
      <w:pPr>
        <w:ind w:left="420"/>
      </w:pPr>
      <w:r>
        <w:t xml:space="preserve">14. sind Harmonisierungsrechtsvorschriften der Gemeinschaft Rechtsvorschriften der Gemeinschaft zur Harmonisierung der Bedingungen für die Vermarktung von Produkten;</w:t>
      </w:r>
    </w:p>
    <w:p>
      <w:pPr>
        <w:ind w:left="420"/>
      </w:pPr>
      <w:r>
        <w:t xml:space="preserve">15. ist Hersteller jede natürliche oder juristische Person, die ein Spielzeug herstellt oder entwickeln oder herstellen lässt und dieses Spielzeug unter ihrem eigenen Namen oder ihrer eigenen Marke auf dem Markt bereitstellt;</w:t>
      </w:r>
    </w:p>
    <w:p>
      <w:pPr>
        <w:ind w:left="420"/>
      </w:pPr>
      <w:r>
        <w:t xml:space="preserve">16. ist Inverkehrbringen die erstmalige Bereitstellung eines Spielzeugs auf dem Markt;</w:t>
      </w:r>
    </w:p>
    <w:p>
      <w:pPr>
        <w:ind w:left="420"/>
      </w:pPr>
      <w:r>
        <w:t xml:space="preserve">17. ist Konformitätsbewertung das Verfahren zur Bewertung, ob spezifische Anforderungen an ein Spielzeug erfüllt worden sind;</w:t>
      </w:r>
    </w:p>
    <w:p>
      <w:pPr>
        <w:ind w:left="420"/>
      </w:pPr>
      <w:r>
        <w:t xml:space="preserve">18. ist Konformitätsbewertungsstelle eine Stelle, die Konformitätsbewertungstätigkeiten einschließlich Kalibrierungen, Prüfungen, Zertifizierungen und Inspektionen durchführt;</w:t>
      </w:r>
    </w:p>
    <w:p>
      <w:pPr>
        <w:ind w:left="420"/>
      </w:pPr>
      <w:r>
        <w:t xml:space="preserve">19. ist Kosmetikkoffer ein Spielzeug, dessen Zweck darin besteht, Kindern dabei zu helfen, Produkte wie Parfüme, Seifen, Cremes, Shampoos, Badeschaum, Lippenglanzstifte, Lippenstifte, Make-up, Zahnpasta und Haarfestiger herzustellen;</w:t>
      </w:r>
    </w:p>
    <w:p>
      <w:pPr>
        <w:ind w:left="420"/>
      </w:pPr>
      <w:r>
        <w:t xml:space="preserve">20. ist Marktüberwachung jede von den zuständigen Behörden durchgeführte Tätigkeit und von ihnen getroffene Maßnahme, durch die sichergestellt werden soll, dass die Spielzeuge mit den Anforderungen dieser Verordnung übereinstimmen und die Sicherheit und Gesundheit von Menschen oder andere im öffentlichen Interesse schützenswerte Bereiche nicht gefährden;</w:t>
      </w:r>
    </w:p>
    <w:p>
      <w:pPr>
        <w:ind w:left="420"/>
      </w:pPr>
      <w:r>
        <w:t xml:space="preserve">21. ist Risiko die Eintrittswahrscheinlichkeit einer Gefahr, die einen Schaden verursacht, und die Schwere des Schadens;</w:t>
      </w:r>
    </w:p>
    <w:p>
      <w:pPr>
        <w:ind w:left="420"/>
      </w:pPr>
      <w:r>
        <w:t xml:space="preserve">22. ist Rücknahme jede Maßnahme, mit der verhindert werden soll, dass ein Spielzeug, das sich in der Lieferkette befindet, auf dem Markt bereitgestellt wird;</w:t>
      </w:r>
    </w:p>
    <w:p>
      <w:pPr>
        <w:ind w:left="420"/>
      </w:pPr>
      <w:r>
        <w:t xml:space="preserve">23. ist Rückruf jede Maßnahme, die darauf abzielt, die Rückgabe eines dem Endverbraucher auf dem Markt bereitgestellten Spielzeugs zu erwirken;</w:t>
      </w:r>
    </w:p>
    <w:p>
      <w:pPr>
        <w:ind w:left="420"/>
      </w:pPr>
      <w:r>
        <w:t xml:space="preserve">23a. ist Schaden eine körperliche Verletzung oder jede sonstige Gesundheitsbeeinträchtigung, auch langfristiger Natur;</w:t>
      </w:r>
    </w:p>
    <w:p>
      <w:pPr>
        <w:ind w:left="420"/>
      </w:pPr>
      <w:r>
        <w:t xml:space="preserve">24. ist Spiel für den Geschmackssinn ein Spielzeug, dessen Zweck darin besteht, dass Kinder unter Verwendung von Lebensmittelzutaten wie Süßstoffen, Flüssigkeiten, Pulver und Aromen Süßigkeiten oder andere Speisen herstellen können;</w:t>
      </w:r>
    </w:p>
    <w:p>
      <w:pPr>
        <w:ind w:left="420"/>
      </w:pPr>
      <w:r>
        <w:t xml:space="preserve">24a. sind Spielzeug alle Produkte, die ausschließlich oder nicht ausschließlich dazu bestimmt oder gestaltet sind, von Personen unter 14 Jahren für den Gebrauch beim Spielen verwendet zu werden;</w:t>
      </w:r>
    </w:p>
    <w:p>
      <w:pPr>
        <w:ind w:left="420"/>
      </w:pPr>
      <w:r>
        <w:t xml:space="preserve">25. ist Wasserspielzeug ein Spielzeug, das zur Benutzung im flachen Wasser bestimmt ist und dazu geeignet ist, ein Kind auf dem Wasser zu tragen oder über Wasser zu halten;</w:t>
      </w:r>
    </w:p>
    <w:p>
      <w:pPr>
        <w:ind w:left="420"/>
      </w:pPr>
      <w:r>
        <w:t xml:space="preserve">26. sind Wirtschaftsakteur der Hersteller, Bevollmächtigte, Einführer und Händler;</w:t>
      </w:r>
    </w:p>
    <w:p>
      <w:pPr>
        <w:ind w:left="420"/>
      </w:pPr>
      <w:r>
        <w:t xml:space="preserve">27. ist „Zur Verwendung durch Kinder der angegebenen Altersgruppe bestimmt“ eine Formulierung, die darauf hinweist, dass Eltern oder Aufsichtspersonen aufgrund der Funktionen, Abmessungen und Eigenschaften eines Spielzeugs vernünftigerweise davon ausgehen können, dass es zur Verwendung durch Kinder der angegebenen Altersgruppe bestimmt ist.</w:t>
      </w:r>
    </w:p>
    <w:p>
      <w:r>
        <w:rPr>
          <w:color w:val="555555"/>
          <w:sz w:val="17"/>
        </w:rPr>
        <w:t xml:space="preserve">Zitiervorschlag: § 2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