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GPSGV 2 — Anzuwendende Konformitätsbewertungsverfahren</w:t>
      </w:r>
    </w:p>
    <w:p>
      <w:r>
        <w:rPr>
          <w:color w:val="555555"/>
          <w:sz w:val="18"/>
        </w:rPr>
        <w:t xml:space="preserve">Zweite Verordnung zum Produktsicherheitsgesetz (Verordnung über die Sicherheit von Spielzeug)</w:t>
      </w:r>
    </w:p>
    <w:p>
      <w:r>
        <w:rPr>
          <w:color w:val="555555"/>
          <w:sz w:val="18"/>
        </w:rPr>
        <w:t xml:space="preserve">Stand: 10.06.2019 (konsolidierte Textfassung, kein amtliches Inkrafttretensdatum)</w:t>
      </w:r>
    </w:p>
    <w:p>
      <w:r>
        <w:t xml:space="preserve">(1) Der Hersteller muss die in den Absätzen 2 und 3 angegebenen Konformitätsbewertungsverfahren anwenden, um nachzuweisen, dass das Spielzeug die Anforderungen nach § 10 dieser Verordnung und Anhang II der Richtlinie 2009/48/EG erfüllt.</w:t>
      </w:r>
    </w:p>
    <w:p>
      <w:r>
        <w:t xml:space="preserve">(2) Hat der Hersteller die harmonisierten Normen angewendet, deren Fundstellen im Amtsblatt der Europäischen Union veröffentlicht worden sind und die alle einschlägigen Sicherheitsanforderungen an das Spielzeug abdecken, so wendet der Hersteller das Verfahren der internen Fertigungskontrolle gemäß Anhang II Modul A des Beschlusses Nr. 768/2008/EG an.</w:t>
      </w:r>
    </w:p>
    <w:p>
      <w:r>
        <w:t xml:space="preserve">(3) Das Spielzeug wird der EG-Baumusterprüfung gemäß § 16 in Verbindung mit dem Verfahren der Konformität mit der Bauart nach Anhang II Modul C des Beschlusses Nr. 768/2008/EG unterzogen, wenn</w:t>
      </w:r>
    </w:p>
    <w:p>
      <w:pPr>
        <w:ind w:left="420"/>
      </w:pPr>
      <w:r>
        <w:t xml:space="preserve">1. keine harmonisierten Normen existieren, deren Fundstellen im Amtsblatt der Europäischen Union veröffentlicht worden sind und die alle einschlägigen Sicherheitsanforderungen für das Spielzeug abdecken,</w:t>
      </w:r>
    </w:p>
    <w:p>
      <w:pPr>
        <w:ind w:left="420"/>
      </w:pPr>
      <w:r>
        <w:t xml:space="preserve">2. die in Nummer 1 genannten harmonisierten Normen existieren, der Hersteller sie aber nicht oder nur teilweise angewendet hat,</w:t>
      </w:r>
    </w:p>
    <w:p>
      <w:pPr>
        <w:ind w:left="420"/>
      </w:pPr>
      <w:r>
        <w:t xml:space="preserve">3. die in Nummer 1 genannten harmonisierten Normen nur mit einem Vorbehalt veröffentlicht worden sind oder eine sonstige harmonisierte Norm nur mit einem Vorbehalt veröffentlicht worden ist oder</w:t>
      </w:r>
    </w:p>
    <w:p>
      <w:pPr>
        <w:ind w:left="420"/>
      </w:pPr>
      <w:r>
        <w:t xml:space="preserve">4. der Hersteller der Ansicht ist, dass Art, Gestaltung, Konstruktion oder Zweckbestimmung des Spielzeugs eine Überprüfung durch Dritte erfordern.</w:t>
      </w:r>
    </w:p>
    <w:p>
      <w:r>
        <w:rPr>
          <w:color w:val="555555"/>
          <w:sz w:val="17"/>
        </w:rPr>
        <w:t xml:space="preserve">Zitiervorschlag: § 15 GPSGV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https://recht.nulegal.eu/gesetze/GPSGV%202/15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