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GPSGV 2 — Sicherheitsbewertung</w:t>
      </w:r>
    </w:p>
    <w:p>
      <w:r>
        <w:rPr>
          <w:color w:val="555555"/>
          <w:sz w:val="18"/>
        </w:rPr>
        <w:t xml:space="preserve">Zweite Verordnung zum Produktsicherheitsgesetz (Verordnung über die Sicherheit von Spielzeug)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Hersteller führen vor dem Inverkehrbringen eines Spielzeugs eine Analyse der chemischen, physikalischen, mechanischen und elektrischen Gefahren sowie der Entflammbarkeits-, Hygiene- und Radioaktivitätsgefahren durch, die von dem Spielzeug ausgehen können, sowie eine Bewertung, in welchem Umfang die Benutzer diesen Gefahren ausgesetzt sein würden.</w:t>
      </w:r>
    </w:p>
    <w:p>
      <w:r>
        <w:rPr>
          <w:color w:val="555555"/>
          <w:sz w:val="17"/>
        </w:rPr>
        <w:t xml:space="preserve">Zitiervorschlag: § 14 GPSGV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https://recht.nulegal.eu/gesetze/GPSGV%202/14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