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GPSGV 2 — Anwendungsbereich</w:t>
      </w:r>
    </w:p>
    <w:p>
      <w:r>
        <w:rPr>
          <w:color w:val="555555"/>
          <w:sz w:val="18"/>
        </w:rPr>
        <w:t xml:space="preserve">Zweite Verordnung zum Produktsicherheitsgesetz (Verordnung über die Sicherheit von Spielzeug)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gilt, wenn Spielzeug auf dem Markt bereitgestellt wird.</w:t>
      </w:r>
    </w:p>
    <w:p>
      <w:r>
        <w:t xml:space="preserve">(2) Die in Anhang I der Richtlinie 2009/48/EG des Europäischen Parlaments und des Rates vom 18. Juni 2009 über die Sicherheit von Spielzeug (ABl. L 170 vom 30.6.2009, S. 1) aufgeführten Produkte gelten nicht als Spielzeuge im Sinne dieser Verordnung.</w:t>
      </w:r>
    </w:p>
    <w:p>
      <w:r>
        <w:t xml:space="preserve">(3) Diese Verordnung gilt nicht für folgende Spielzeuge:</w:t>
      </w:r>
    </w:p>
    <w:p>
      <w:pPr>
        <w:ind w:left="420"/>
      </w:pPr>
      <w:r>
        <w:t xml:space="preserve">1. Spielplatzgeräte zur öffentlichen Nutzung,</w:t>
      </w:r>
    </w:p>
    <w:p>
      <w:pPr>
        <w:ind w:left="420"/>
      </w:pPr>
      <w:r>
        <w:t xml:space="preserve">2. Spielautomaten, münzbetrieben und nicht münzbetrieben, wenn diese nicht ausschließlich privat genutzt werden,</w:t>
      </w:r>
    </w:p>
    <w:p>
      <w:pPr>
        <w:ind w:left="420"/>
      </w:pPr>
      <w:r>
        <w:t xml:space="preserve">3. Spielzeugfahrzeuge, die mit Verbrennungsmotoren ausgerüstet sind,</w:t>
      </w:r>
    </w:p>
    <w:p>
      <w:pPr>
        <w:ind w:left="420"/>
      </w:pPr>
      <w:r>
        <w:t xml:space="preserve">4. Spielzeugdampfmaschinen sowie</w:t>
      </w:r>
    </w:p>
    <w:p>
      <w:pPr>
        <w:ind w:left="420"/>
      </w:pPr>
      <w:r>
        <w:t xml:space="preserve">5. Schleudern und Zwillen.</w:t>
      </w:r>
    </w:p>
    <w:p>
      <w:r>
        <w:t xml:space="preserve">(4) Insbesondere § 30 des Lebensmittel- und Futtermittelgesetzbuchs und § 39 des Strahlenschutzgesetzes sowie die besonderen Anforderungen an die Verwendung bestimmter Stoffe in Spielzeugen nach § 3 Absatz 1 und 3 der Elektro- und Elektronikgeräte-Stoff-Verordnung bleiben unberührt.</w:t>
      </w:r>
    </w:p>
    <w:p>
      <w:r>
        <w:rPr>
          <w:color w:val="555555"/>
          <w:sz w:val="17"/>
        </w:rPr>
        <w:t xml:space="preserve">Zitiervorschlag: § 1 GPSGV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https://recht.nulegal.eu/gesetze/GPSGV%202/1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