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GPEV</w:t>
      </w:r>
    </w:p>
    <w:p>
      <w:r>
        <w:rPr>
          <w:color w:val="555555"/>
          <w:sz w:val="18"/>
        </w:rPr>
        <w:t xml:space="preserve">Garantieprämienerhebungsverordnung</w:t>
      </w:r>
    </w:p>
    <w:p>
      <w:r>
        <w:rPr>
          <w:color w:val="555555"/>
          <w:sz w:val="18"/>
        </w:rPr>
        <w:t xml:space="preserve">Stand: 20.10.2020 (konsolidierte Textfassung, kein amtliches Inkrafttretensdatum)</w:t>
      </w:r>
    </w:p>
    <w:p>
      <w:r>
        <w:t xml:space="preserve">Auf Grund des Artikels 240 § 6 Absatz 8 des Einführungsgesetzes zum Bürgerlichen Gesetzbuche, der durch Artikel 1 des Gesetzes vom 10. Juli 2020 (BGBl. I S. 1643, 1870) eingefügt worden ist, verordnet die Bundesregierung:</w:t>
      </w:r>
    </w:p>
    <w:p>
      <w:r>
        <w:rPr>
          <w:color w:val="555555"/>
          <w:sz w:val="17"/>
        </w:rPr>
        <w:t xml:space="preserve">Zitiervorschlag: Eingangsformel GPEV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