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GPEV — Inkrafttreten</w:t>
      </w:r>
    </w:p>
    <w:p>
      <w:r>
        <w:rPr>
          <w:color w:val="555555"/>
          <w:sz w:val="18"/>
        </w:rPr>
        <w:t xml:space="preserve">Garantieprämienerhebungsverordnung</w:t>
      </w:r>
    </w:p>
    <w:p>
      <w:r>
        <w:rPr>
          <w:color w:val="555555"/>
          <w:sz w:val="18"/>
        </w:rPr>
        <w:t xml:space="preserve">Stand: 20.10.2020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GPEV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