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GPEV — Anwendungsbereich</w:t>
      </w:r>
    </w:p>
    <w:p>
      <w:r>
        <w:rPr>
          <w:color w:val="555555"/>
          <w:sz w:val="18"/>
        </w:rPr>
        <w:t xml:space="preserve">Garantieprämienerhebungsverordnung</w:t>
      </w:r>
    </w:p>
    <w:p>
      <w:r>
        <w:rPr>
          <w:color w:val="555555"/>
          <w:sz w:val="18"/>
        </w:rPr>
        <w:t xml:space="preserve">Stand: 20.10.2020 (konsolidierte Textfassung, kein amtliches Inkrafttretensdatum)</w:t>
      </w:r>
    </w:p>
    <w:p>
      <w:r>
        <w:t xml:space="preserve">Diese Verordnung regelt die Einzelheiten der Erhebung von Garantieprämien nach Artikel 240 § 6 Absatz 7 des Einführungsgesetzes zum Bürgerlichen Gesetzbuche für Reisegutscheine, die vom 31. Juli 2020 bis einschließlich 31. Dezember 2021 ausgegeben, angepasst oder umgetauscht worden sind.</w:t>
      </w:r>
    </w:p>
    <w:p>
      <w:r>
        <w:rPr>
          <w:color w:val="555555"/>
          <w:sz w:val="17"/>
        </w:rPr>
        <w:t xml:space="preserve">Zitiervorschlag: § 1 GPEV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https://recht.nulegal.eu/gesetze/GPEV/1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