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GPAG (Nordrhein-Westfalen)</w:t>
      </w:r>
    </w:p>
    <w:p>
      <w:r>
        <w:rPr>
          <w:color w:val="555555"/>
          <w:sz w:val="18"/>
        </w:rPr>
        <w:t xml:space="preserve">Gemeindeprüfungsanstaltsgesetz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30. April 2002</w:t>
      </w:r>
    </w:p>
    <w:p>
      <w:r>
        <w:t xml:space="preserve">(Artikel 2 des Gesetzes zur Errichtung einer Gemeindeprüfungsanstalt )</w:t>
      </w:r>
    </w:p>
    <w:p>
      <w:r>
        <w:rPr>
          <w:color w:val="555555"/>
          <w:sz w:val="17"/>
        </w:rPr>
        <w:t xml:space="preserve">Zitiervorschlag: Volltext GPAG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https://recht.nulegal.eu/gesetze/GPAG/volltext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