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GPAG (Nordrhein-Westfalen) — Aufgaben auf dem Gebiet der Informationstechnologie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Gemeindeprüfungsanstalt lässt auf Antrag für die automatisierte Ausführung der Geschäfte der kommunalen Haushaltswirtschaft Fachprogramme nach § 94 Absatz 2 der Gemeindeordnung für das Land Nordrhein-Westfalen zu. Sie kann insoweit auch beratend wirken. Die Planungs-, Organisations-, Personal- und Finanzhoheit der Kommunen bleiben unberührt.</w:t>
      </w:r>
    </w:p>
    <w:p>
      <w:r>
        <w:t xml:space="preserve">(2) Die Gemeindeprüfungsanstalt kann über Absatz 1 hinaus Fachprogramme und Anwendungen auch in anderen Bereichen der kommunalen Verwaltung auf Antrag zulassen, sofern sie durch Gesetz oder Rechtsverordnung als für die Zulassung zuständige Stelle bestimmt ist.</w:t>
      </w:r>
    </w:p>
    <w:p>
      <w:r>
        <w:t xml:space="preserve">(3) Die Gemeindeprüfungsanstalt tritt selbst nicht als Anbieter von Hardware, Software und Systemlösungen auf und erbringt keine Datenverarbeitungsleistungen im Auftrag von Dritten.</w:t>
      </w:r>
    </w:p>
    <w:p>
      <w:r>
        <w:rPr>
          <w:color w:val="555555"/>
          <w:sz w:val="17"/>
        </w:rPr>
        <w:t xml:space="preserve">Zitiervorschlag: § 2a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