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GPAG (Nordrhein-Westfalen) — In-Kraft-Treten, Berichtspflicht</w:t>
      </w:r>
    </w:p>
    <w:p>
      <w:r>
        <w:rPr>
          <w:color w:val="555555"/>
          <w:sz w:val="18"/>
        </w:rPr>
        <w:t xml:space="preserve">Gemeindeprüfungsanstaltsgesetz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Dieses Gesetz tritt am 1. Januar 2003 in Kraft. Die Landesregierung berichtet dem Landtag bis zum 31. Dezember 2009 über die Notwendigkeit des Fortbestehens dieses Gesetzes.</w:t>
      </w:r>
    </w:p>
    <w:p>
      <w:r>
        <w:t xml:space="preserve">Hinweis</w:t>
      </w:r>
    </w:p>
    <w:p>
      <w:r>
        <w:t xml:space="preserve">Übergangsregelungen</w:t>
      </w:r>
    </w:p>
    <w:p>
      <w:r>
        <w:t xml:space="preserve">zu den Artikeln 8, 16, 18 und 19</w:t>
      </w:r>
    </w:p>
    <w:p>
      <w:r>
        <w:t xml:space="preserve">(Artikel 21 des Gesetzes über ein Neues Kommunales Finanzmanagement für Gemeinden im Land Nordrhein-Westfalen (Kommunales Finanzmanagementgesetz NRW - NKFG NRW) vom 16.11.2004 (GV. NRW. S. 644))</w:t>
      </w:r>
    </w:p>
    <w:p>
      <w:r>
        <w:t xml:space="preserve">(1) Soweit auf die Gemeindeprüfungsanstalt gesetzliche Vorschriften über die Haushaltswirtschaft der Gemeinden Anwendung finden, findet § 1 des Gesetzes zur Einführung des Neuen Kommunalen Finanzmanagements für Gemeinden im Land Nordrhein-Westfalen entsprechende Anwendung.</w:t>
      </w:r>
    </w:p>
    <w:p>
      <w:r>
        <w:t xml:space="preserve">(2) Für die vor dem In-Kraft-Treten dieses Gesetzes errichteten Eigenbetriebe können im Wirtschaftsjahr 2005 die Vorschriften der Eigenbetriebsverordnung in der bis zum 31. Dezember 2004 geltenden Fassung weiterhin Anwendung finden.</w:t>
      </w:r>
    </w:p>
    <w:p>
      <w:r>
        <w:t xml:space="preserve">(3) Für die vor dem In-Kraft-Treten dieses Gesetzes errichteten kommunalen Unternehmen und Einrichtungen als Anstalt des öffentlichen Rechts können im Wirtschaftsjahr 2005 die Vorschriften der Verordnung über kommunale Unternehmen und Einrichtungen als Anstalt des öffentlichen Rechts in der bis zum 31. Dezember 2004 geltenden Fassung weiterhin Anwendung finden.</w:t>
      </w:r>
    </w:p>
    <w:p>
      <w:r>
        <w:t xml:space="preserve">(4) Für die vor dem In-Kraft-Treten dieses Gesetzes errichteten gemeindlichen Krankenhäuser können im Wirtschaftsjahr 2005 die Vorschriften der Verordnung über den Betrieb gemeindlicher Krankenhäuser in der bis zum 31. Dezember 2004 geltenden Fassung weiterhin Anwendung finden.</w:t>
      </w:r>
    </w:p>
    <w:p>
      <w:r>
        <w:t xml:space="preserve">Zusatz:</w:t>
      </w:r>
    </w:p>
    <w:p>
      <w:r>
        <w:t xml:space="preserve">(Artikel 8 bis 11 des Ersten Gesetzes zur Weiterentwicklung des Neuen Kommunalen Finanzmanagements für Gemeinden und Gemeindeverbände</w:t>
      </w:r>
    </w:p>
    <w:p>
      <w:r>
        <w:t xml:space="preserve">im Land Nordrhein-Westfalen (1. NKF-Weiterentwicklungsgesetz - NKFWG) vom 18. September 2012 (GV. NRW. S. 432))</w:t>
      </w:r>
    </w:p>
    <w:p>
      <w:r>
        <w:t xml:space="preserve">Artikel 8</w:t>
      </w:r>
    </w:p>
    <w:p>
      <w:r>
        <w:t xml:space="preserve">Übergangsregelungen zu den Artikeln 1 bis 7</w:t>
      </w:r>
    </w:p>
    <w:p>
      <w:r>
        <w:t xml:space="preserve">§ 1</w:t>
      </w:r>
    </w:p>
    <w:p>
      <w:r>
        <w:t xml:space="preserve">Überführung der Ausgleichsrücklage</w:t>
      </w:r>
    </w:p>
    <w:p>
      <w:r>
        <w:t xml:space="preserve">Die in der Bilanz des Jahresabschlusses des Haushaltsjahres 2012 angesetzte Ausgleichsrücklage ist mit ihrem Bestand im Jahresabschluss des Haushaltsjahres 2012 in die Ausgleichsrücklage nach der ab dem Haushaltsjahr 2013 geltenden Vorschrift zu überführen. Dieses gilt entsprechend, wenn die Ausgleichsrücklage keinen Bestand mehr aufweist.</w:t>
      </w:r>
    </w:p>
    <w:p>
      <w:r>
        <w:t xml:space="preserve">§ 2</w:t>
      </w:r>
    </w:p>
    <w:p>
      <w:r>
        <w:t xml:space="preserve">Behandlung des Jahresergebnisses 2012</w:t>
      </w:r>
    </w:p>
    <w:p>
      <w:r>
        <w:t xml:space="preserve">Nach der Überführung kann der in der Bilanz des Haushaltsjahres 2012 angesetzte Jahresüberschuss nach § 95 Absatz 2 der Gemeindeordnung zugeführt werden. Ein angesetzter Fehlbetrag ist zu verrechnen.</w:t>
      </w:r>
    </w:p>
    <w:p>
      <w:r>
        <w:t xml:space="preserve">§ 3</w:t>
      </w:r>
    </w:p>
    <w:p>
      <w:r>
        <w:t xml:space="preserve">Jahresüberschüsse der Vorjahre</w:t>
      </w:r>
    </w:p>
    <w:p>
      <w:r>
        <w:t xml:space="preserve">Jahresüberschüsse der Vorjahre des Haushaltsjahres 2012, die der allgemeinen Rücklage zugeführt wurden, können im Jahresabschluss des Haushaltsjahres 2012 der Ausgleichs-rücklage zugeführt werden, soweit ihr Bestand nicht den Höchstbetrag von einem Drittel des Eigenkapitals erreicht hat.</w:t>
      </w:r>
    </w:p>
    <w:p>
      <w:r>
        <w:t xml:space="preserve">§ 4</w:t>
      </w:r>
    </w:p>
    <w:p>
      <w:r>
        <w:t xml:space="preserve">Anzeige der Jahresabschlüsse des Haushaltsjahres 2010 und der Vorjahre</w:t>
      </w:r>
    </w:p>
    <w:p>
      <w:r>
        <w:t xml:space="preserve">Der Anzeige des Jahresabschlusses des Haushaltsjahres 2011 sind die Jahresabschlüsse des Haushaltsjahres 2010 und der Vorjahre beizufügen, soweit diese noch nicht nach § 96 Absatz 2 Satz 1 der Gemeindeordnung angezeigt worden sind. Die Jahresabschlüsse des Haushaltsjahres 2010 und der Vorjahre können in der vom Bürgermeister nach § 95 Absatz 3 der Gemeindeordnung bestätigten Entwurfsfassung der Anzeige beigefügt werden. Der Rat ist über diese Anzeige zu unterrichten.</w:t>
      </w:r>
    </w:p>
    <w:p>
      <w:r>
        <w:t xml:space="preserve">Artikel 9</w:t>
      </w:r>
    </w:p>
    <w:p>
      <w:r>
        <w:t xml:space="preserve">Rückkehr zum einheitlichen Verordnungsrang</w:t>
      </w:r>
    </w:p>
    <w:p>
      <w:r>
        <w:t xml:space="preserve">Die auf dem Artikel 7 beruhenden Teile der dort geänderten Rechtsverordnung können auf Grund der in § 133 der Gemeindeordnung enthaltenen einschlägigen Ermächtigungen durch Rechtsverordnung geändert oder aufgehoben werden.</w:t>
      </w:r>
    </w:p>
    <w:p>
      <w:r>
        <w:t xml:space="preserve">Artikel 10</w:t>
      </w:r>
    </w:p>
    <w:p>
      <w:r>
        <w:t xml:space="preserve">Überprüfung der Auswirkungen dieses Gesetzes</w:t>
      </w:r>
    </w:p>
    <w:p>
      <w:r>
        <w:t xml:space="preserve">§ 1</w:t>
      </w:r>
    </w:p>
    <w:p>
      <w:r>
        <w:t xml:space="preserve">Überprüfung</w:t>
      </w:r>
    </w:p>
    <w:p>
      <w:r>
        <w:t xml:space="preserve">Die Vorschriften über die Haushaltswirtschaft der Gemeinden werden nach einem Erfahrungszeitraum von vier Jahren nach Inkrafttreten des Gesetzes durch die Landesregierung unter Mitwirkung der Spitzenverbände der Kommunen und der Fachverbände überprüft.</w:t>
      </w:r>
    </w:p>
    <w:p>
      <w:r>
        <w:t xml:space="preserve">§ 2</w:t>
      </w:r>
    </w:p>
    <w:p>
      <w:r>
        <w:t xml:space="preserve">Bericht an den Landtag</w:t>
      </w:r>
    </w:p>
    <w:p>
      <w:r>
        <w:t xml:space="preserve">Die Landesregierung unterrichtet den Landtag über das Ergebnis der Überprüfung, insbesondere über den Änderungsbedarf bei den für die Haushaltswirtschaft der Gemeinden getroffenen gesetzlichen Regelungen.</w:t>
      </w:r>
    </w:p>
    <w:p>
      <w:r>
        <w:t xml:space="preserve">Artikel 11</w:t>
      </w:r>
    </w:p>
    <w:p>
      <w:r>
        <w:t xml:space="preserve">Inkrafttreten</w:t>
      </w:r>
    </w:p>
    <w:p>
      <w:r>
        <w:t xml:space="preserve">Das Gesetz tritt am Tage nach seiner Verkündung in Kraft. Die Vorschriften sind erstmals auf das Haushaltsjahr 2013 anzuwenden. Abweichend davon wird zugelassen, dass die durch die Artikel 1 bis 7 geänderten haushaltsrechtlichen Vorschriften sowie die Überführung der Ausgleichsrücklage nach § 1 des Artikels 8 erstmals auf den Jahresabschluss des Haushaltsjahres 2012 angewendet werden können.</w:t>
      </w:r>
    </w:p>
    <w:p>
      <w:r>
        <w:rPr>
          <w:color w:val="555555"/>
          <w:sz w:val="17"/>
        </w:rPr>
        <w:t xml:space="preserve">Zitiervorschlag: § 14 GPAG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https://recht.nulegal.eu/gesetze/GPAG/14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