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GPAG (Nordrhein-Westfalen) — Errichtung</w:t>
      </w:r>
    </w:p>
    <w:p>
      <w:r>
        <w:rPr>
          <w:color w:val="555555"/>
          <w:sz w:val="18"/>
        </w:rPr>
        <w:t xml:space="preserve">Gemeindeprüfungsanstaltsgesetz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Gemeindeprüfungsanstalt wird als rechtsfähige Anstalt des öffentlichen Rechts errichtet.</w:t>
      </w:r>
    </w:p>
    <w:p>
      <w:r>
        <w:t xml:space="preserve">(2) Die Gemeindeprüfungsanstalt hat ihren Sitz in Herne. Sie kann Zweigstellen durch Satzung errichten und deren Zuständigkeit regeln.</w:t>
      </w:r>
    </w:p>
    <w:p>
      <w:r>
        <w:t xml:space="preserve">(3) Die Gemeindeprüfungsanstalt kann ihre Angelegenheiten im Rahmen der Gesetze durch Satzung regeln.</w:t>
      </w:r>
    </w:p>
    <w:p>
      <w:r>
        <w:t xml:space="preserve">(4) Die Gemeindeprüfungsanstalt besitzt Dienstherrnfähigkeit.</w:t>
      </w:r>
    </w:p>
    <w:p>
      <w:r>
        <w:rPr>
          <w:color w:val="555555"/>
          <w:sz w:val="17"/>
        </w:rPr>
        <w:t xml:space="preserve">Zitiervorschlag: § 1 GPAG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https://recht.nulegal.eu/gesetze/GPAG/1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