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GO_VERFG (Brandenburg) — Akteneinsicht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Art und Zeit der Gewährung von Akteneinsicht (§ 16 VerfGGBbg ) entscheidet die Präsidentin oder der Präsident; gegen diese Entscheidung kann das Verfassungsgericht angerufen werden.</w:t>
      </w:r>
    </w:p>
    <w:p>
      <w:r>
        <w:t xml:space="preserve">(2) Nach Abschluss des Verfahrens wird auch den Beteiligten und ihren Bevollmächtigten Akteneinsicht nur gewährt, wenn ein berechtigtes Interesse glaubhaft gemacht wird und Belange der übrigen Beteiligten nicht entgegenstehen; die Akteneinsicht bezieht sich dabei nur auf Akten des Verfassungsgerichts.</w:t>
      </w:r>
    </w:p>
    <w:p>
      <w:r>
        <w:t xml:space="preserve">(3) Verfahrensakten des Verfassungsgerichts werden Gerichten und Behörden grundsätzlich nicht überlassen. Über Ausnahmen entscheidet das Verfassungsgericht.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