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GO_VERFG (Brandenburg) — Inkrafttreten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Geschäftsordnung tritt am 15. Juli 2020 in Kraft. Gleichzeitig tritt die Geschäftsordnung vom 15. Januar 2009 (GVBl. 2009 I S. 14) außer Kraft.</w:t>
      </w:r>
    </w:p>
    <w:p>
      <w:r>
        <w:t xml:space="preserve">Einzelnorm</w:t>
      </w:r>
    </w:p>
    <w:p>
      <w:r>
        <w:t xml:space="preserve">Potsdam, den 14. Juli 2020</w:t>
      </w:r>
    </w:p>
    <w:p>
      <w:r>
        <w:t xml:space="preserve">Verfassungsgericht des Landes Brandenburg</w:t>
      </w:r>
    </w:p>
    <w:p>
      <w:r>
        <w:t xml:space="preserve">Der Präsident</w:t>
      </w:r>
    </w:p>
    <w:p>
      <w:r>
        <w:t xml:space="preserve">Möller</w:t>
      </w:r>
    </w:p>
    <w:p>
      <w:r>
        <w:rPr>
          <w:color w:val="555555"/>
          <w:sz w:val="17"/>
        </w:rPr>
        <w:t xml:space="preserve">Zitiervorschlag: § 22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