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GO_VERFG (Brandenburg) — Änderung der Geschäftsordnung</w:t>
      </w:r>
    </w:p>
    <w:p>
      <w:r>
        <w:rPr>
          <w:color w:val="555555"/>
          <w:sz w:val="18"/>
        </w:rPr>
        <w:t xml:space="preserve">Geschäftsordnung des Verfassungsgerichts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Jedes Mitglied des Verfassungsgerichts kann die Änderung der Geschäftsordnung beantragen. Der Antrag soll schriftlich gestellt werden, einen Formulierungsvorschlag und eine Begründung enthalten.</w:t>
      </w:r>
    </w:p>
    <w:p>
      <w:r>
        <w:t xml:space="preserve">(2) Über eine Änderung der Geschäftsordnung beschließt das Verfassungsgericht mit einfacher Mehrheit.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21 GO_VERFG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https://recht.nulegal.eu/gesetze/GO_VERFG/21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