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GO_VERFG (Brandenburg) — Form der Entscheidung</w:t>
      </w:r>
    </w:p>
    <w:p>
      <w:r>
        <w:rPr>
          <w:color w:val="555555"/>
          <w:sz w:val="18"/>
        </w:rPr>
        <w:t xml:space="preserve">Geschäftsordnung des Verfassungsgerichts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Mitglieder des Verfassungsgerichts, die an der Entscheidung mitgewirkt haben, sind im Rubrum mit ihrem Namen in der Reihenfolge des Alphabetes nach der Präsidentin oder dem Präsidenten aufzuführen. Amts- und Berufsbezeichnungen werden nicht angegeben.</w:t>
      </w:r>
    </w:p>
    <w:p>
      <w:r>
        <w:t xml:space="preserve">(2) Entscheidungen, die nicht auf Grund einer mündlichen Verhandlung ergehen, erhalten das Datum des Tages, an dem die letzte Unterschrift vorliegt.</w:t>
      </w:r>
    </w:p>
    <w:p>
      <w:r>
        <w:t xml:space="preserve">(3) Ist eine Entscheidung nicht einstimmig ergangen, wird das Stimmenverhältnis am Ende der Entscheidung mitgeteilt, wenn dies das überstimmte Mitglied des Verfassungsgerichts verlangt oder das Verfassungsgericht so beschließt.</w:t>
      </w:r>
    </w:p>
    <w:p>
      <w:r>
        <w:t xml:space="preserve">(4) Der Entscheidung können amtliche Leitsätze beigefügt werden. Sie werden vom Verfassungsgericht beschlossen.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16 GO_VERFG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https://recht.nulegal.eu/gesetze/GO_VERFG/16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