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GOZ 1987 — Gebühren bei stationärer Behandlung</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Bei vollstationären, teilstationären sowie vor- und nachstationären privatzahnärztlichen Leistungen sind die nach dieser Verordnung berechneten Gebühren einschließlich der darauf entfallenden Zuschläge um 25 vom Hundert zu mindern. Abweichend davon beträgt die Minderung für Leistungen und Zuschläge nach Satz 1 von Belegzahnärzten oder niedergelassenen anderen Zahnärzten 15 vom Hundert. Ausgenommen von dieser Minderungspflicht ist der Zuschlag nach Buchstabe J in Abschnitt B V des Gebührenverzeichnisses der Gebührenordnung für Ärzte.</w:t>
      </w:r>
    </w:p>
    <w:p>
      <w:r>
        <w:t xml:space="preserve">(2) Neben den nach Absatz 1 geminderten Gebühren darf der Zahnarzt Kosten nicht berechnen; die §§ 8 und 9 bleiben unberührt.</w:t>
      </w:r>
    </w:p>
    <w:p>
      <w:r>
        <w:rPr>
          <w:color w:val="555555"/>
          <w:sz w:val="17"/>
        </w:rPr>
        <w:t xml:space="preserve">Zitiervorschlag: § 7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GOZ 1987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