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GOZ 1987 — Anwendungsbereich</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Die Vergütungen für die beruflichen Leistungen der Zahnärzte bestimmen sich nach dieser Verordnung, soweit nicht durch Bundesgesetz etwas anderes bestimmt ist.</w:t>
      </w:r>
    </w:p>
    <w:p>
      <w:r>
        <w:t xml:space="preserve">(2) Vergütungen darf der Zahnarzt nur für Leistungen berechnen, die nach den Regeln der zahnärztlichen Kunst für eine zahnmedizinisch notwendige zahnärztliche Versorgung erforderlich sind. Leistungen, die über das Maß einer zahnmedizinisch notwendigen zahnärztlichen Versorgung hinausgehen, darf er nur berechnen, wenn sie auf Verlangen des Zahlungspflichtigen erbracht worden sind.</w:t>
      </w:r>
    </w:p>
    <w:p>
      <w:r>
        <w:rPr>
          <w:color w:val="555555"/>
          <w:sz w:val="17"/>
        </w:rPr>
        <w:t xml:space="preserve">Zitiervorschlag: § 1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