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GOT 2022</w:t>
      </w:r>
    </w:p>
    <w:p>
      <w:r>
        <w:rPr>
          <w:color w:val="555555"/>
          <w:sz w:val="18"/>
        </w:rPr>
        <w:t xml:space="preserve">Tierärztegebührenordnung</w:t>
      </w:r>
    </w:p>
    <w:p>
      <w:r>
        <w:rPr>
          <w:color w:val="555555"/>
          <w:sz w:val="18"/>
        </w:rPr>
        <w:t xml:space="preserve">Stand: 22.11.2022 (konsolidierte Textfassung, kein amtliches Inkrafttretensdatum)</w:t>
      </w:r>
    </w:p>
    <w:p>
      <w:r>
        <w:t xml:space="preserve">Es verordnen</w:t>
      </w:r>
    </w:p>
    <w:p>
      <w:pPr>
        <w:ind w:left="420"/>
      </w:pPr>
      <w:r>
        <w:t xml:space="preserve">– auf Grund des § 12 Absatz 1 der Bundes-Tierärzteordnung in der Fassung der Bekanntmachung vom 20. November 1981 (BGBl. I S. 1193), der durch Artikel 1 Nummer 1 des Gesetzes vom 15. April 2005 (BGBl. I S. 1066) geändert worden ist, die Bundesregierung und</w:t>
      </w:r>
    </w:p>
    <w:p>
      <w:pPr>
        <w:ind w:left="420"/>
      </w:pPr>
      <w:r>
        <w:t xml:space="preserve">– auf Grund des § 12 Absatz 2 der Bundes-Tierärzteordnung in der Fassung der Bekanntmachung vom 20. November 1981 (BGBl. I S. 1193), der zuletzt durch Artikel 379 der Verordnung vom 31. August 2015 (BGBl. I S. 1474) geändert worden ist, das Bundesministerium für Ernährung und Landwirtschaft:</w:t>
      </w:r>
    </w:p>
    <w:p>
      <w:r>
        <w:rPr>
          <w:color w:val="555555"/>
          <w:sz w:val="17"/>
        </w:rPr>
        <w:t xml:space="preserve">Zitiervorschlag: Eingangsformel GOT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https://recht.nulegal.eu/gesetze/GOT%202022/eingangsformel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