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GOT 2022 — Gebühren- und Rechnungsbestandteile, Fälligkeit</w:t>
      </w:r>
    </w:p>
    <w:p>
      <w:r>
        <w:rPr>
          <w:color w:val="555555"/>
          <w:sz w:val="18"/>
        </w:rPr>
        <w:t xml:space="preserve">Tierärztegebührenordnung</w:t>
      </w:r>
    </w:p>
    <w:p>
      <w:r>
        <w:rPr>
          <w:color w:val="555555"/>
          <w:sz w:val="18"/>
        </w:rPr>
        <w:t xml:space="preserve">Stand: 22.11.2022 (konsolidierte Textfassung, kein amtliches Inkrafttretensdatum)</w:t>
      </w:r>
    </w:p>
    <w:p>
      <w:r>
        <w:t xml:space="preserve">(1) Die allgemeinen Praxiskosten und die durch die Anwendung von tierärztlichen Instrumenten und Apparaturen entstehenden Kosten werden mit den Gebühren abgegolten, soweit nicht etwas anderes bestimmt ist.</w:t>
      </w:r>
    </w:p>
    <w:p>
      <w:r>
        <w:t xml:space="preserve">(2) Neben den Gebühren für Leistungen nach dem Gebührenverzeichnis können nur Entschädigungen, Auslagen, Entgelte für Arzneimittel und für verbrauchtes sowie abgegebenes Material berechnet werden.</w:t>
      </w:r>
    </w:p>
    <w:p>
      <w:r>
        <w:t xml:space="preserve">(3) Die Vergütung wird fällig, wenn dem Zahlungspflichtigen eine Rechnung erteilt worden ist.</w:t>
      </w:r>
    </w:p>
    <w:p>
      <w:r>
        <w:t xml:space="preserve">(4) Die Rechnung muss mindestens enthalten:</w:t>
      </w:r>
    </w:p>
    <w:p>
      <w:pPr>
        <w:ind w:left="420"/>
      </w:pPr>
      <w:r>
        <w:t xml:space="preserve">1. das Datum der Erbringung der Leistung,</w:t>
      </w:r>
    </w:p>
    <w:p>
      <w:pPr>
        <w:ind w:left="420"/>
      </w:pPr>
      <w:r>
        <w:t xml:space="preserve">2. die Tierart, für die die Leistung erbracht worden ist,</w:t>
      </w:r>
    </w:p>
    <w:p>
      <w:pPr>
        <w:ind w:left="420"/>
      </w:pPr>
      <w:r>
        <w:t xml:space="preserve">3. die Diagnose oder den Grund der Konsultation der Tierärztin oder des Tierarztes,</w:t>
      </w:r>
    </w:p>
    <w:p>
      <w:pPr>
        <w:ind w:left="420"/>
      </w:pPr>
      <w:r>
        <w:t xml:space="preserve">4. die berechnete Leistung mit Angabe der laufenden Nummer in der ersten Spalte des Gebührenverzeichnisses,</w:t>
      </w:r>
    </w:p>
    <w:p>
      <w:pPr>
        <w:ind w:left="420"/>
      </w:pPr>
      <w:r>
        <w:t xml:space="preserve">5. den Rechnungsbetrag,</w:t>
      </w:r>
    </w:p>
    <w:p>
      <w:pPr>
        <w:ind w:left="420"/>
      </w:pPr>
      <w:r>
        <w:t xml:space="preserve">6. die Umsatzsteuer.</w:t>
      </w:r>
    </w:p>
    <w:p>
      <w:r>
        <w:t xml:space="preserve">Entschädigungen, Auslagen, Entgelte für Arzneimittel und für verbrauchtes sowie abgegebenes Material nach Absatz 2 sind, soweit sie nicht in den Gebührensätzen des Gebührenverzeichnisses enthalten sind, gesondert auszuweisen. Im Übrigen ist die Rechnung auf Verlangen des Zahlungspflichtigen aufzugliedern.</w:t>
      </w:r>
    </w:p>
    <w:p>
      <w:r>
        <w:rPr>
          <w:color w:val="555555"/>
          <w:sz w:val="17"/>
        </w:rPr>
        <w:t xml:space="preserve">Zitiervorschlag: § 7 GOT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https://recht.nulegal.eu/gesetze/GOT%202022/7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