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GOT 2022 — Inkrafttreten, Außerkrafttreten</w:t>
      </w:r>
    </w:p>
    <w:p>
      <w:r>
        <w:rPr>
          <w:color w:val="555555"/>
          <w:sz w:val="18"/>
        </w:rPr>
        <w:t xml:space="preserve">Tierärztegebührenordnung</w:t>
      </w:r>
    </w:p>
    <w:p>
      <w:r>
        <w:rPr>
          <w:color w:val="555555"/>
          <w:sz w:val="18"/>
        </w:rPr>
        <w:t xml:space="preserve">Stand: 22.11.2022 (konsolidierte Textfassung, kein amtliches Inkrafttretensdatum)</w:t>
      </w:r>
    </w:p>
    <w:p>
      <w:r>
        <w:t xml:space="preserve">Diese Verordnung tritt am 22. November 2022 in Kraft. Gleichzeitig tritt die Tierärztegebührenordnung vom 28. Juli 1999 (BGBl. I S. 1691), die zuletzt durch Artikel 1 der Verordnung vom 10. Februar 2020 (BGBl. I S. 158) geändert worden ist, außer Kraft.</w:t>
      </w:r>
    </w:p>
    <w:p>
      <w:r>
        <w:rPr>
          <w:color w:val="555555"/>
          <w:sz w:val="17"/>
        </w:rPr>
        <w:t xml:space="preserve">Zitiervorschlag: § 12 GOT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https://recht.nulegal.eu/gesetze/GOT%202022/12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