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GOSTV (Brandenburg) — Inkrafttreten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August 2011 in Kraft.</w:t>
      </w:r>
    </w:p>
    <w:p>
      <w:r>
        <w:t xml:space="preserve">Potsdam, den 21. August 2009</w:t>
      </w:r>
    </w:p>
    <w:p>
      <w:r>
        <w:t xml:space="preserve">Der Minister für Bildung, Jugend und Sport</w:t>
      </w:r>
    </w:p>
    <w:p>
      <w:r>
        <w:t xml:space="preserve">Holger Rupprecht</w:t>
      </w:r>
    </w:p>
    <w:p>
      <w:r>
        <w:t xml:space="preserve">Anlage 1</w:t>
      </w:r>
    </w:p>
    <w:p>
      <w:r>
        <w:t xml:space="preserve">(zu § 30 Absatz 3)</w:t>
      </w:r>
    </w:p>
    <w:p>
      <w:r>
        <w:t xml:space="preserve">Berechnung des Gesamtergebnisses der Qualifikationsphase für die Einbringung in die Gesamtqualifikation</w:t>
      </w:r>
    </w:p>
    <w:p>
      <w:r>
        <w:t xml:space="preserve">Summe der in den eingebrachten Halbjahreskursen</w:t>
      </w:r>
    </w:p>
    <w:p>
      <w:r>
        <w:t xml:space="preserve">erreichten Punkte 1 x 40 = Gesamtergebnis der Qualifikationsphase 2</w:t>
      </w:r>
    </w:p>
    <w:p>
      <w:r>
        <w:t xml:space="preserve">44 3</w:t>
      </w:r>
    </w:p>
    <w:p>
      <w:r>
        <w:t xml:space="preserve">1 Soweit Halbjahreskurse doppelt zu werten sind, zählen diese auch doppelt.</w:t>
      </w:r>
    </w:p>
    <w:p>
      <w:r>
        <w:t xml:space="preserve">2 Das Ergebnis wird auf eine ganzzahlige Punktzahl gerundet; ab n,5 wird aufgerundet.</w:t>
      </w:r>
    </w:p>
    <w:p>
      <w:r>
        <w:t xml:space="preserve">3 Im Falle von § 30 Absatz 2 Satz 4 entspricht die Summe der eingebrachten Halbjahreskurse in Punkten dem Gesamtergebnis der Qualifikationsphase ohne Anwendung der Formel.</w:t>
      </w:r>
    </w:p>
    <w:p>
      <w:r>
        <w:t xml:space="preserve">Anlage 2</w:t>
      </w:r>
    </w:p>
    <w:p>
      <w:r>
        <w:t xml:space="preserve">(zu § 31 Absatz 2)</w:t>
      </w:r>
    </w:p>
    <w:p>
      <w:r>
        <w:t xml:space="preserve">Tabelle zur Ermittlung der Abiturdurchschnittsnote</w:t>
      </w:r>
    </w:p>
    <w:p>
      <w:r>
        <w:t xml:space="preserve">Punkte</w:t>
      </w:r>
    </w:p>
    <w:p>
      <w:r>
        <w:t xml:space="preserve">Abiturdurchschnittsnote</w:t>
      </w:r>
    </w:p>
    <w:p>
      <w:r>
        <w:t xml:space="preserve">900 – 823</w:t>
      </w:r>
    </w:p>
    <w:p>
      <w:r>
        <w:t xml:space="preserve">1,0</w:t>
      </w:r>
    </w:p>
    <w:p>
      <w:r>
        <w:t xml:space="preserve">822 – 805</w:t>
      </w:r>
    </w:p>
    <w:p>
      <w:r>
        <w:t xml:space="preserve">1,1</w:t>
      </w:r>
    </w:p>
    <w:p>
      <w:r>
        <w:t xml:space="preserve">804 – 787</w:t>
      </w:r>
    </w:p>
    <w:p>
      <w:r>
        <w:t xml:space="preserve">1,2</w:t>
      </w:r>
    </w:p>
    <w:p>
      <w:r>
        <w:t xml:space="preserve">786 – 769</w:t>
      </w:r>
    </w:p>
    <w:p>
      <w:r>
        <w:t xml:space="preserve">1,3</w:t>
      </w:r>
    </w:p>
    <w:p>
      <w:r>
        <w:t xml:space="preserve">768 – 751</w:t>
      </w:r>
    </w:p>
    <w:p>
      <w:r>
        <w:t xml:space="preserve">1,4</w:t>
      </w:r>
    </w:p>
    <w:p>
      <w:r>
        <w:t xml:space="preserve">750 – 733</w:t>
      </w:r>
    </w:p>
    <w:p>
      <w:r>
        <w:t xml:space="preserve">1,5</w:t>
      </w:r>
    </w:p>
    <w:p>
      <w:r>
        <w:t xml:space="preserve">732 – 715</w:t>
      </w:r>
    </w:p>
    <w:p>
      <w:r>
        <w:t xml:space="preserve">1,6</w:t>
      </w:r>
    </w:p>
    <w:p>
      <w:r>
        <w:t xml:space="preserve">714 – 697</w:t>
      </w:r>
    </w:p>
    <w:p>
      <w:r>
        <w:t xml:space="preserve">1,7</w:t>
      </w:r>
    </w:p>
    <w:p>
      <w:r>
        <w:t xml:space="preserve">696 – 679</w:t>
      </w:r>
    </w:p>
    <w:p>
      <w:r>
        <w:t xml:space="preserve">1,8</w:t>
      </w:r>
    </w:p>
    <w:p>
      <w:r>
        <w:t xml:space="preserve">678 – 661</w:t>
      </w:r>
    </w:p>
    <w:p>
      <w:r>
        <w:t xml:space="preserve">1,9</w:t>
      </w:r>
    </w:p>
    <w:p>
      <w:r>
        <w:t xml:space="preserve">660 – 643</w:t>
      </w:r>
    </w:p>
    <w:p>
      <w:r>
        <w:t xml:space="preserve">2,0</w:t>
      </w:r>
    </w:p>
    <w:p>
      <w:r>
        <w:t xml:space="preserve">642 – 625</w:t>
      </w:r>
    </w:p>
    <w:p>
      <w:r>
        <w:t xml:space="preserve">2,1</w:t>
      </w:r>
    </w:p>
    <w:p>
      <w:r>
        <w:t xml:space="preserve">624 – 607</w:t>
      </w:r>
    </w:p>
    <w:p>
      <w:r>
        <w:t xml:space="preserve">2,2</w:t>
      </w:r>
    </w:p>
    <w:p>
      <w:r>
        <w:t xml:space="preserve">606 – 589</w:t>
      </w:r>
    </w:p>
    <w:p>
      <w:r>
        <w:t xml:space="preserve">2,3</w:t>
      </w:r>
    </w:p>
    <w:p>
      <w:r>
        <w:t xml:space="preserve">588 – 571</w:t>
      </w:r>
    </w:p>
    <w:p>
      <w:r>
        <w:t xml:space="preserve">2,4</w:t>
      </w:r>
    </w:p>
    <w:p>
      <w:r>
        <w:t xml:space="preserve">570 – 553</w:t>
      </w:r>
    </w:p>
    <w:p>
      <w:r>
        <w:t xml:space="preserve">2,5</w:t>
      </w:r>
    </w:p>
    <w:p>
      <w:r>
        <w:t xml:space="preserve">552 – 535</w:t>
      </w:r>
    </w:p>
    <w:p>
      <w:r>
        <w:t xml:space="preserve">2,6</w:t>
      </w:r>
    </w:p>
    <w:p>
      <w:r>
        <w:t xml:space="preserve">534 – 517</w:t>
      </w:r>
    </w:p>
    <w:p>
      <w:r>
        <w:t xml:space="preserve">2,7</w:t>
      </w:r>
    </w:p>
    <w:p>
      <w:r>
        <w:t xml:space="preserve">516 – 499</w:t>
      </w:r>
    </w:p>
    <w:p>
      <w:r>
        <w:t xml:space="preserve">2,8</w:t>
      </w:r>
    </w:p>
    <w:p>
      <w:r>
        <w:t xml:space="preserve">498 – 481</w:t>
      </w:r>
    </w:p>
    <w:p>
      <w:r>
        <w:t xml:space="preserve">2,9</w:t>
      </w:r>
    </w:p>
    <w:p>
      <w:r>
        <w:t xml:space="preserve">480 – 463</w:t>
      </w:r>
    </w:p>
    <w:p>
      <w:r>
        <w:t xml:space="preserve">3,0</w:t>
      </w:r>
    </w:p>
    <w:p>
      <w:r>
        <w:t xml:space="preserve">462 – 445</w:t>
      </w:r>
    </w:p>
    <w:p>
      <w:r>
        <w:t xml:space="preserve">3,1</w:t>
      </w:r>
    </w:p>
    <w:p>
      <w:r>
        <w:t xml:space="preserve">444 – 427</w:t>
      </w:r>
    </w:p>
    <w:p>
      <w:r>
        <w:t xml:space="preserve">3,2</w:t>
      </w:r>
    </w:p>
    <w:p>
      <w:r>
        <w:t xml:space="preserve">426 – 409</w:t>
      </w:r>
    </w:p>
    <w:p>
      <w:r>
        <w:t xml:space="preserve">3,3</w:t>
      </w:r>
    </w:p>
    <w:p>
      <w:r>
        <w:t xml:space="preserve">408 – 391</w:t>
      </w:r>
    </w:p>
    <w:p>
      <w:r>
        <w:t xml:space="preserve">3,4</w:t>
      </w:r>
    </w:p>
    <w:p>
      <w:r>
        <w:t xml:space="preserve">390 – 373</w:t>
      </w:r>
    </w:p>
    <w:p>
      <w:r>
        <w:t xml:space="preserve">3,5</w:t>
      </w:r>
    </w:p>
    <w:p>
      <w:r>
        <w:t xml:space="preserve">372 – 355</w:t>
      </w:r>
    </w:p>
    <w:p>
      <w:r>
        <w:t xml:space="preserve">3,6</w:t>
      </w:r>
    </w:p>
    <w:p>
      <w:r>
        <w:t xml:space="preserve">354 – 337</w:t>
      </w:r>
    </w:p>
    <w:p>
      <w:r>
        <w:t xml:space="preserve">3,7</w:t>
      </w:r>
    </w:p>
    <w:p>
      <w:r>
        <w:t xml:space="preserve">336 – 319</w:t>
      </w:r>
    </w:p>
    <w:p>
      <w:r>
        <w:t xml:space="preserve">3,8</w:t>
      </w:r>
    </w:p>
    <w:p>
      <w:r>
        <w:t xml:space="preserve">318 – 301</w:t>
      </w:r>
    </w:p>
    <w:p>
      <w:r>
        <w:t xml:space="preserve">3,9</w:t>
      </w:r>
    </w:p>
    <w:p>
      <w:r>
        <w:t xml:space="preserve">300</w:t>
      </w:r>
    </w:p>
    <w:p>
      <w:r>
        <w:t xml:space="preserve">4,0</w:t>
      </w:r>
    </w:p>
    <w:p>
      <w:r>
        <w:t xml:space="preserve">Anlage 3</w:t>
      </w:r>
    </w:p>
    <w:p>
      <w:r>
        <w:t xml:space="preserve">(zu § 32 Absatz 3)</w:t>
      </w:r>
    </w:p>
    <w:p>
      <w:r>
        <w:t xml:space="preserve">Tabelle zur Ermittlung der Durchschnittsnote für die Fachhochschulreife (schulischer Teil)</w:t>
      </w:r>
    </w:p>
    <w:p>
      <w:r>
        <w:t xml:space="preserve">Punkte</w:t>
      </w:r>
    </w:p>
    <w:p>
      <w:r>
        <w:t xml:space="preserve">Durchschnittsnote</w:t>
      </w:r>
    </w:p>
    <w:p>
      <w:r>
        <w:t xml:space="preserve">285 – 261</w:t>
      </w:r>
    </w:p>
    <w:p>
      <w:r>
        <w:t xml:space="preserve">1,0</w:t>
      </w:r>
    </w:p>
    <w:p>
      <w:r>
        <w:t xml:space="preserve">260 – 255</w:t>
      </w:r>
    </w:p>
    <w:p>
      <w:r>
        <w:t xml:space="preserve">1,1</w:t>
      </w:r>
    </w:p>
    <w:p>
      <w:r>
        <w:t xml:space="preserve">254 – 249</w:t>
      </w:r>
    </w:p>
    <w:p>
      <w:r>
        <w:t xml:space="preserve">1,2</w:t>
      </w:r>
    </w:p>
    <w:p>
      <w:r>
        <w:t xml:space="preserve">248 – 244</w:t>
      </w:r>
    </w:p>
    <w:p>
      <w:r>
        <w:t xml:space="preserve">1,3</w:t>
      </w:r>
    </w:p>
    <w:p>
      <w:r>
        <w:t xml:space="preserve">243 – 238</w:t>
      </w:r>
    </w:p>
    <w:p>
      <w:r>
        <w:t xml:space="preserve">1,4</w:t>
      </w:r>
    </w:p>
    <w:p>
      <w:r>
        <w:t xml:space="preserve">237 – 232</w:t>
      </w:r>
    </w:p>
    <w:p>
      <w:r>
        <w:t xml:space="preserve">1,5</w:t>
      </w:r>
    </w:p>
    <w:p>
      <w:r>
        <w:t xml:space="preserve">231 – 227</w:t>
      </w:r>
    </w:p>
    <w:p>
      <w:r>
        <w:t xml:space="preserve">1,6</w:t>
      </w:r>
    </w:p>
    <w:p>
      <w:r>
        <w:t xml:space="preserve">226 – 221</w:t>
      </w:r>
    </w:p>
    <w:p>
      <w:r>
        <w:t xml:space="preserve">1,7</w:t>
      </w:r>
    </w:p>
    <w:p>
      <w:r>
        <w:t xml:space="preserve">220 – 215</w:t>
      </w:r>
    </w:p>
    <w:p>
      <w:r>
        <w:t xml:space="preserve">1,8</w:t>
      </w:r>
    </w:p>
    <w:p>
      <w:r>
        <w:t xml:space="preserve">214 – 210</w:t>
      </w:r>
    </w:p>
    <w:p>
      <w:r>
        <w:t xml:space="preserve">1,9</w:t>
      </w:r>
    </w:p>
    <w:p>
      <w:r>
        <w:t xml:space="preserve">209 – 204</w:t>
      </w:r>
    </w:p>
    <w:p>
      <w:r>
        <w:t xml:space="preserve">2,0</w:t>
      </w:r>
    </w:p>
    <w:p>
      <w:r>
        <w:t xml:space="preserve">203 – 198</w:t>
      </w:r>
    </w:p>
    <w:p>
      <w:r>
        <w:t xml:space="preserve">2,1</w:t>
      </w:r>
    </w:p>
    <w:p>
      <w:r>
        <w:t xml:space="preserve">197 – 192</w:t>
      </w:r>
    </w:p>
    <w:p>
      <w:r>
        <w:t xml:space="preserve">2,2</w:t>
      </w:r>
    </w:p>
    <w:p>
      <w:r>
        <w:t xml:space="preserve">191 – 187</w:t>
      </w:r>
    </w:p>
    <w:p>
      <w:r>
        <w:t xml:space="preserve">2,3</w:t>
      </w:r>
    </w:p>
    <w:p>
      <w:r>
        <w:t xml:space="preserve">186 – 181</w:t>
      </w:r>
    </w:p>
    <w:p>
      <w:r>
        <w:t xml:space="preserve">2,4</w:t>
      </w:r>
    </w:p>
    <w:p>
      <w:r>
        <w:t xml:space="preserve">180 – 175</w:t>
      </w:r>
    </w:p>
    <w:p>
      <w:r>
        <w:t xml:space="preserve">2,5</w:t>
      </w:r>
    </w:p>
    <w:p>
      <w:r>
        <w:t xml:space="preserve">174 – 170</w:t>
      </w:r>
    </w:p>
    <w:p>
      <w:r>
        <w:t xml:space="preserve">2,6</w:t>
      </w:r>
    </w:p>
    <w:p>
      <w:r>
        <w:t xml:space="preserve">169 – 164</w:t>
      </w:r>
    </w:p>
    <w:p>
      <w:r>
        <w:t xml:space="preserve">2,7</w:t>
      </w:r>
    </w:p>
    <w:p>
      <w:r>
        <w:t xml:space="preserve">163 – 158</w:t>
      </w:r>
    </w:p>
    <w:p>
      <w:r>
        <w:t xml:space="preserve">2,8</w:t>
      </w:r>
    </w:p>
    <w:p>
      <w:r>
        <w:t xml:space="preserve">157 – 153</w:t>
      </w:r>
    </w:p>
    <w:p>
      <w:r>
        <w:t xml:space="preserve">2,9</w:t>
      </w:r>
    </w:p>
    <w:p>
      <w:r>
        <w:t xml:space="preserve">152 – 147</w:t>
      </w:r>
    </w:p>
    <w:p>
      <w:r>
        <w:t xml:space="preserve">3,0</w:t>
      </w:r>
    </w:p>
    <w:p>
      <w:r>
        <w:t xml:space="preserve">146 – 141</w:t>
      </w:r>
    </w:p>
    <w:p>
      <w:r>
        <w:t xml:space="preserve">3,1</w:t>
      </w:r>
    </w:p>
    <w:p>
      <w:r>
        <w:t xml:space="preserve">140 – 135</w:t>
      </w:r>
    </w:p>
    <w:p>
      <w:r>
        <w:t xml:space="preserve">3,2</w:t>
      </w:r>
    </w:p>
    <w:p>
      <w:r>
        <w:t xml:space="preserve">134 – 130</w:t>
      </w:r>
    </w:p>
    <w:p>
      <w:r>
        <w:t xml:space="preserve">3,3</w:t>
      </w:r>
    </w:p>
    <w:p>
      <w:r>
        <w:t xml:space="preserve">129 – 124</w:t>
      </w:r>
    </w:p>
    <w:p>
      <w:r>
        <w:t xml:space="preserve">3,4</w:t>
      </w:r>
    </w:p>
    <w:p>
      <w:r>
        <w:t xml:space="preserve">123 – 118</w:t>
      </w:r>
    </w:p>
    <w:p>
      <w:r>
        <w:t xml:space="preserve">3,5</w:t>
      </w:r>
    </w:p>
    <w:p>
      <w:r>
        <w:t xml:space="preserve">117 – 113</w:t>
      </w:r>
    </w:p>
    <w:p>
      <w:r>
        <w:t xml:space="preserve">3,6</w:t>
      </w:r>
    </w:p>
    <w:p>
      <w:r>
        <w:t xml:space="preserve">112 – 107</w:t>
      </w:r>
    </w:p>
    <w:p>
      <w:r>
        <w:t xml:space="preserve">3,7</w:t>
      </w:r>
    </w:p>
    <w:p>
      <w:r>
        <w:t xml:space="preserve">106 – 101</w:t>
      </w:r>
    </w:p>
    <w:p>
      <w:r>
        <w:t xml:space="preserve">3,8</w:t>
      </w:r>
    </w:p>
    <w:p>
      <w:r>
        <w:t xml:space="preserve">100 – 96</w:t>
      </w:r>
    </w:p>
    <w:p>
      <w:r>
        <w:t xml:space="preserve">3,9</w:t>
      </w:r>
    </w:p>
    <w:p>
      <w:r>
        <w:t xml:space="preserve">95</w:t>
      </w:r>
    </w:p>
    <w:p>
      <w:r>
        <w:t xml:space="preserve">4,0</w:t>
      </w:r>
    </w:p>
    <w:p>
      <w:r>
        <w:t xml:space="preserve">Berechnung der Punktzahl für den schulischen Teil der Fachhochschulreife</w:t>
      </w:r>
    </w:p>
    <w:p>
      <w:r>
        <w:t xml:space="preserve">Die erreichte Punktzahl für den schulischen Teil der Fachhochschulreife wird wie folgt ermittelt:</w:t>
      </w:r>
    </w:p>
    <w:p>
      <w:r>
        <w:t xml:space="preserve">Dabei sind:</w:t>
      </w:r>
    </w:p>
    <w:p>
      <w:r>
        <w:t xml:space="preserve">∑ = Gesamtergebnis für den schulischen Teil der Fachhochschulreife</w:t>
      </w:r>
    </w:p>
    <w:p>
      <w:r>
        <w:t xml:space="preserve">P = Erzielte Punkte in den eingebrachten Fächern in zwei Schulhalbjahren</w:t>
      </w:r>
    </w:p>
    <w:p>
      <w:r>
        <w:t xml:space="preserve">S = Anzahl der Schulhalbjahresergebnisse (doppelt gewichtete Fächer zählen auch hier doppelt)</w:t>
      </w:r>
    </w:p>
    <w:p>
      <w:r>
        <w:t xml:space="preserve">Es wird auf eine ganzzahlige Punktzahl gerundet; ab n,5 wird aufgerundet.</w:t>
      </w:r>
    </w:p>
    <w:p>
      <w:r>
        <w:rPr>
          <w:color w:val="555555"/>
          <w:sz w:val="17"/>
        </w:rPr>
        <w:t xml:space="preserve">Zitiervorschlag: § 39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