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GOSTV (Brandenburg) — Übergangsregelung</w:t>
      </w:r>
    </w:p>
    <w:p>
      <w:r>
        <w:rPr>
          <w:color w:val="555555"/>
          <w:sz w:val="18"/>
        </w:rPr>
        <w:t xml:space="preserve">Gymnasiale-Oberstufe-Verordnung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Schülerinnen und Schüler, die sich im Schuljahr 2025/2026 in der Qualifikationsphase eines Gymnasiums, einer Gesamtschule oder eines beruflichen Gymnasiums befinden, setzen ihr Schulverhältnis auf der Grundlage der Gymnasiale-Oberstufe-Verordnung vom 21. August 2009 ( GVBl. II S. 578), die zuletzt durch die Verordnung vom 29. April 2021 (GVBl. II Nr. 47) geändert worden ist, fort.</w:t>
      </w:r>
    </w:p>
    <w:p>
      <w:r>
        <w:rPr>
          <w:color w:val="555555"/>
          <w:sz w:val="17"/>
        </w:rPr>
        <w:t xml:space="preserve">Zitiervorschlag: § 37 GOSTV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https://recht.nulegal.eu/gesetze/GOSTV/37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