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GOSTV (Brandenburg) — Erwerb der allgemeinen Hochschulreife</w:t>
      </w:r>
    </w:p>
    <w:p>
      <w:r>
        <w:rPr>
          <w:color w:val="555555"/>
          <w:sz w:val="18"/>
        </w:rPr>
        <w:t xml:space="preserve">Gymnasiale-Oberstufe-Verordnung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allgemeine Hochschulreife erwirbt, wer die Mindestanforderungen gemäß § 30 Absatz 5 und 6 erfüllt hat.</w:t>
      </w:r>
    </w:p>
    <w:p>
      <w:r>
        <w:t xml:space="preserve">(2) Der Prüfungsausschuss bildet aus der Gesamtpunktzahl gemäß Anlage 2 die Abiturdurchschnittsnote, die auf dem Zeugnis der allgemeinen Hochschulreife ausgewiesen wird.</w:t>
      </w:r>
    </w:p>
    <w:p>
      <w:r>
        <w:rPr>
          <w:color w:val="555555"/>
          <w:sz w:val="17"/>
        </w:rPr>
        <w:t xml:space="preserve">Zitiervorschlag: § 31 GOSTV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https://recht.nulegal.eu/gesetze/GOSTV/31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