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GOP</w:t>
      </w:r>
    </w:p>
    <w:p>
      <w:r>
        <w:rPr>
          <w:color w:val="555555"/>
          <w:sz w:val="18"/>
        </w:rPr>
        <w:t xml:space="preserve">Gebührenordnung für Psychologische Psychotherapeuten und Kinder- und Jugendlichenpsychotherapeuten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Vergütungen für die beruflichen Leistungen der Psychologischen Psychotherapeuten und der Kinder- und Jugendlichenpsychotherapeuten im Sinne von § 1 Abs. 3 des Psychotherapeutengesetzes richten sich nach der Gebührenordnung für Ärzte in der Fassung der Bekanntmachung vom 9. Februar 1996 (BGBl. I S. 210), geändert durch Artikel 17 des Gesetzes vom 22. Dezember 1999 (BGBl. I S. 2626), soweit nicht durch Bundesgesetz etwas anderes bestimmt ist.</w:t>
      </w:r>
    </w:p>
    <w:p>
      <w:r>
        <w:t xml:space="preserve">(2) Vergütungen nach Absatz 1 sind nur für Leistungen berechnungsfähig, die in den Abschnitten B und G des Gebührenverzeichnisses der Gebührenordnung für Ärzte aufgeführt sind. § 6 Abs. 2 der Gebührenordnung für Ärzte gilt mit der Maßgabe, dass psychotherapeutische Leistungen, die nicht im Gebührenverzeichnis der Gebührenordnung für Ärzte enthalten sind, entsprechend einer nach Art, Kosten- und Zeitaufwand gleichwertigen Leistung der Abschnitte B und G des Gebührenverzeichnisses der Gebührenordnung für Ärzte berechnet werden können.</w:t>
      </w:r>
    </w:p>
    <w:p>
      <w:r>
        <w:rPr>
          <w:color w:val="555555"/>
          <w:sz w:val="17"/>
        </w:rPr>
        <w:t xml:space="preserve">Zitiervorschlag: § 1 GOP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https://recht.nulegal.eu/gesetze/GOP/1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