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GOLT (Brandenburg) — Beschlussprotokoll</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jede Sitzung des Landtages wird ein Beschlussprotokoll gefertigt. Es wird an die Mitglieder des Landtages verteilt und gilt als genehmigt, wenn bis Ablauf einer Woche seit der Verteilung kein Einspruch erhoben wird.</w:t>
      </w:r>
    </w:p>
    <w:p>
      <w:r>
        <w:t xml:space="preserve">(2) Wird die Fassung des Beschlussprotokolls beanstandet und der Einspruch nicht durch eine Erklärung der in der Sitzung amtierenden Präsidentin oder des in der Sitzung amtierenden Präsidenten behoben, befragt die Präsidentin oder der Präsident den Landtag. Wird der Einspruch für begründet erachtet, ist die neue Fassung der beanstandeten Stelle noch während der Sitzung vorzulegen.</w:t>
      </w:r>
    </w:p>
    <w:p>
      <w:r>
        <w:rPr>
          <w:color w:val="555555"/>
          <w:sz w:val="17"/>
        </w:rPr>
        <w:t xml:space="preserve">Zitiervorschlag: § 96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