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GOLT (Brandenburg) — Kommissionen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Einsetzung, die Zusammensetzung und das Verfahren von Enquete-Kommissionen richten sich nach dem Gesetz über die Enquete-Kommissionen des Landtages Brandenburg.</w:t>
      </w:r>
    </w:p>
    <w:p>
      <w:r>
        <w:t xml:space="preserve">(2) Die Einsetzung, die Zusammensetzung und das Verfahren der Parlamentarischen Kontrollkommission richten sich nach dem Brandenburgischen Verfassungsschutzgesetz.</w:t>
      </w:r>
    </w:p>
    <w:p>
      <w:r>
        <w:t xml:space="preserve">(3) Die Einsetzung, die Zusammensetzung und das Verfahren der G 10-Kommission richten sich nach dem Gesetz zur Ausführung des Artikel 10-Gesetzes.</w:t>
      </w:r>
    </w:p>
    <w:p>
      <w:r>
        <w:rPr>
          <w:color w:val="555555"/>
          <w:sz w:val="17"/>
        </w:rPr>
        <w:t xml:space="preserve">Zitiervorschlag: § 87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https://recht.nulegal.eu/gesetze/GOLT/87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