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GOLT (Brandenburg) — Bestellung der Ausschüsse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Landtag bestellt aus seiner Mitte einen Hauptausschuss und weitere Ausschüsse für die Dauer der Wahlperiode.</w:t>
      </w:r>
    </w:p>
    <w:p>
      <w:r>
        <w:t xml:space="preserve">(2) Für bestimmte Aufgaben kann der Landtag Sonderausschüsse einsetzen.</w:t>
      </w:r>
    </w:p>
    <w:p>
      <w:r>
        <w:t xml:space="preserve">(3) Die Ausschüsse können mit Zustimmung des Präsidiums aus ihrer Mitte zur Vorbereitung ihrer Beschlüsse Unterausschüsse einsetzen. Satz 1 gilt entsprechend für die Einsetzung von Berichterstattungsgruppen durch Enquete-Kommissionen.</w:t>
      </w:r>
    </w:p>
    <w:p>
      <w:r>
        <w:rPr>
          <w:color w:val="555555"/>
          <w:sz w:val="17"/>
        </w:rPr>
        <w:t xml:space="preserve">Zitiervorschlag: § 73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