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GOLT (Brandenburg) — Abstimmungen über Anträge mit Wahl- oder Abwahlvorschlag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Abstimmungen über Anträge mit Wahl- oder Abwahlvorschlag erfolgen offen, es sei denn, ein Mitglied des Landtages widerspricht. In den Fällen, in denen mehrere konkurrierende Bewerbungen vorhanden sind, ist ebenfalls geheim abzustimmen.</w:t>
      </w:r>
    </w:p>
    <w:p>
      <w:r>
        <w:t xml:space="preserve">(2) Die Einzelheiten des Verfahrens bei der Durchführung der geheimen Abstimmung über einen Antrag mit Wahl- oder Abwahlvorschlag werden durch die dieser Geschäftsordnung als Anlage 7 beigefügte Wahlordnung geregelt.</w:t>
      </w:r>
    </w:p>
    <w:p>
      <w:r>
        <w:rPr>
          <w:color w:val="555555"/>
          <w:sz w:val="17"/>
        </w:rPr>
        <w:t xml:space="preserve">Zitiervorschlag: § 71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