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GOLT (Brandenburg) — Unzulässigkeit der namentlichen Abstimmung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Eine namentliche Abstimmung ist unzulässig bei Beschlussfassung über</w:t>
      </w:r>
    </w:p>
    <w:p>
      <w:r>
        <w:t xml:space="preserve">Überweisung an einen Ausschuss,</w:t>
      </w:r>
    </w:p>
    <w:p>
      <w:r>
        <w:t xml:space="preserve">Abkürzung der Fristen,</w:t>
      </w:r>
    </w:p>
    <w:p>
      <w:r>
        <w:t xml:space="preserve">Tagesordnung,</w:t>
      </w:r>
    </w:p>
    <w:p>
      <w:r>
        <w:t xml:space="preserve">Unterbrechung der Sitzung,</w:t>
      </w:r>
    </w:p>
    <w:p>
      <w:r>
        <w:t xml:space="preserve">Unterbrechung oder Schluss der Beratung,</w:t>
      </w:r>
    </w:p>
    <w:p>
      <w:r>
        <w:t xml:space="preserve">Teilung des Abstimmungsgegenstandes.</w:t>
      </w:r>
    </w:p>
    <w:p>
      <w:r>
        <w:rPr>
          <w:color w:val="555555"/>
          <w:sz w:val="17"/>
        </w:rPr>
        <w:t xml:space="preserve">Zitiervorschlag: § 68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https://recht.nulegal.eu/gesetze/GOLT/68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