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GOLT (Brandenburg) — Anzweiflung der Beschlussfähigkeit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Beschlussfähigkeit kann nur unmittelbar nach Beendigung der Aussprache bis zur Eröffnung der Abstimmung angezweifelt werden. In diesem Falle ist bis zur Feststellung der Beschlussfähigkeit eine Geschäftsordnungsdebatte unzulässig.</w:t>
      </w:r>
    </w:p>
    <w:p>
      <w:r>
        <w:t xml:space="preserve">(2) Wird die Beschlussfähigkeit angezweifelt, ist diese durch Namensaufruf oder Zählung der anwesenden Mitglieder des Landtages festzustellen.</w:t>
      </w:r>
    </w:p>
    <w:p>
      <w:r>
        <w:t xml:space="preserve">(3) Bei festgestellter Beschlussunfähigkeit kann die Präsidentin oder der Präsident die Sitzung für kurze Zeit unterbrechen.</w:t>
      </w:r>
    </w:p>
    <w:p>
      <w:r>
        <w:rPr>
          <w:color w:val="555555"/>
          <w:sz w:val="17"/>
        </w:rPr>
        <w:t xml:space="preserve">Zitiervorschlag: § 62 GOLT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https://recht.nulegal.eu/gesetze/GOLT/62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