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GOLT (Brandenburg) — Akteneinsicht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Landtages sind berechtigt, alle Akten und Unterlagen einzusehen, die sich in der Verwahrung des Landtages befinden, und sodann im Einzelfall Kopien davon anzufordern. Satz 1 gilt nur, soweit nicht gesetzliche Vorschriften oder Geheimhaltungs- oder sonstige schutzwürdige Interessen dem entgegenstehen. Die Vorschriften der Richtlinie über die Rechtsstellung, Aufgaben und Arbeitsweise des Parlamentarischen Beratungsdienstes des Landtages Brandenburg bleiben unberührt.</w:t>
      </w:r>
    </w:p>
    <w:p>
      <w:r>
        <w:t xml:space="preserve">(2) Die Einsichtnahme in Verwaltungsvorgänge, die das einzelne Mitglied des Landtages persönlich betreffen, ist nur diesem gestattet.</w:t>
      </w:r>
    </w:p>
    <w:p>
      <w:r>
        <w:rPr>
          <w:color w:val="555555"/>
          <w:sz w:val="17"/>
        </w:rPr>
        <w:t xml:space="preserve">Zitiervorschlag: § 6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