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GOLT (Brandenburg) — Fragestunde und Aktuelle Stunde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Jedes Mitglied des Landtages ist berechtigt, kurze mündliche Anfragen an die Landesregierung zu richten. Die Einzelheiten des Verfahrens der Fragestunde werden durch die dieser Geschäftsordnung als Anlage 2 beigefügte Richtlinie geregelt.</w:t>
      </w:r>
    </w:p>
    <w:p>
      <w:r>
        <w:t xml:space="preserve">(2) Eine Fraktion oder eine Gruppe kann zu einer bestimmt bezeichneten aktuellen Frage der Landespolitik eine Aussprache beantragen. Die Einzelheiten des Verfahrens der Aktuellen Stunde werden durch Anlage 3 dieser Geschäftsordnung geregelt.</w:t>
      </w:r>
    </w:p>
    <w:p>
      <w:r>
        <w:rPr>
          <w:color w:val="555555"/>
          <w:sz w:val="17"/>
        </w:rPr>
        <w:t xml:space="preserve">Zitiervorschlag: § 59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https://recht.nulegal.eu/gesetze/GOLT/59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