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GOLT (Brandenburg) — Weitere Lesung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weitere Lesung ist erforderlich, wenn die Landesregierung oder die Präsidentin oder der Präsident des Landtages dies beantragen.</w:t>
      </w:r>
    </w:p>
    <w:p>
      <w:r>
        <w:t xml:space="preserve">(2) Der Landtag kann eine zusätzliche Ausschussberatung beschließen. Die Überweisung an den zuständigen Ausschuss kann auch ohne Beschluss des Landtages durch die Präsidentin oder den Präsidenten erfolgen.</w:t>
      </w:r>
    </w:p>
    <w:p>
      <w:r>
        <w:rPr>
          <w:color w:val="555555"/>
          <w:sz w:val="17"/>
        </w:rPr>
        <w:t xml:space="preserve">Zitiervorschlag: § 47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