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GOLT (Brandenburg) — Erste Lesung</w:t>
      </w:r>
    </w:p>
    <w:p>
      <w:r>
        <w:rPr>
          <w:color w:val="555555"/>
          <w:sz w:val="18"/>
        </w:rPr>
        <w:t xml:space="preserve">Geschäftsordnung des Landtages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Gesetzentwürfe werden in der ersten Lesung begründet und in ihren Grundsätzen beraten.</w:t>
      </w:r>
    </w:p>
    <w:p>
      <w:r>
        <w:t xml:space="preserve">(2) Am Schluss der ersten Lesung kann die Überweisung eines Gesetzentwurfes an einen oder mehrere Ausschüsse beschlossen werden.</w:t>
      </w:r>
    </w:p>
    <w:p>
      <w:r>
        <w:t xml:space="preserve">(3) Ein Gesetzentwurf hat sich erledigt, wenn sowohl die Überweisung an einen Ausschuss als auch der Gesetzentwurf selbst abgelehnt werden.</w:t>
      </w:r>
    </w:p>
    <w:p>
      <w:r>
        <w:rPr>
          <w:color w:val="555555"/>
          <w:sz w:val="17"/>
        </w:rPr>
        <w:t xml:space="preserve">Zitiervorschlag: § 44 GOLT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https://recht.nulegal.eu/gesetze/GOLT/44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