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GOLT (Brandenburg) — Dringlichkeitsanträge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Dringlichkeitsanträge sind:</w:t>
      </w:r>
    </w:p>
    <w:p>
      <w:r>
        <w:t xml:space="preserve">ein Antrag auf Beschlussfassung über ein konstruktives Misstrauensvotum,</w:t>
      </w:r>
    </w:p>
    <w:p>
      <w:r>
        <w:t xml:space="preserve">ein Antrag der Ministerpräsidentin oder des Ministerpräsidenten, ihr oder ihm das Vertrauen auszusprechen,</w:t>
      </w:r>
    </w:p>
    <w:p>
      <w:r>
        <w:t xml:space="preserve">ein Antrag auf Abwahl eines Mitgliedes des Präsidiums,</w:t>
      </w:r>
    </w:p>
    <w:p>
      <w:r>
        <w:t xml:space="preserve">Anträge auf Einsetzung von Untersuchungsausschüssen und Abwahl der oder des Vorsitzenden eines Untersuchungsausschusses,</w:t>
      </w:r>
    </w:p>
    <w:p>
      <w:r>
        <w:t xml:space="preserve">Anträge auf Herstellung der Immunität.</w:t>
      </w:r>
    </w:p>
    <w:p>
      <w:r>
        <w:t xml:space="preserve">(2) Dringlichkeitsanträge sind bevorzugt auf die nächste Tagesordnung zu setzen. Die in Verfassung, Gesetz oder in dieser Geschäftsordnung geregelten Fristen für Anträge gemäß Absatz 1 Nummer 1, 3 und 4 bleiben unberührt.</w:t>
      </w:r>
    </w:p>
    <w:p>
      <w:r>
        <w:rPr>
          <w:color w:val="555555"/>
          <w:sz w:val="17"/>
        </w:rPr>
        <w:t xml:space="preserve">Zitiervorschlag: § 43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