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GOLT (Brandenburg) — Zurückweisung von Beratungsmaterialien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Beratungsgegenstände der in § 40 bezeichneten Art soll die Präsidentin oder der Präsident zurückweisen, wenn</w:t>
      </w:r>
    </w:p>
    <w:p>
      <w:r>
        <w:t xml:space="preserve">sie gegen die parlamentarische Ordnung verstoßen,</w:t>
      </w:r>
    </w:p>
    <w:p>
      <w:r>
        <w:t xml:space="preserve">durch ihren Inhalt offenkundig der Tatbestand einer strafbaren Handlung erfüllt wird,</w:t>
      </w:r>
    </w:p>
    <w:p>
      <w:r>
        <w:t xml:space="preserve">deren Behandlung einen Eingriff in die richterliche Unabhängigkeit bedeuten könnte.</w:t>
      </w:r>
    </w:p>
    <w:p>
      <w:r>
        <w:t xml:space="preserve">(2) Gegen die Entscheidung der Präsidentin oder des Präsidenten ist die schriftliche Beschwerde zulässig. Über die Beschwerde entscheidet das Präsidium.</w:t>
      </w:r>
    </w:p>
    <w:p>
      <w:r>
        <w:rPr>
          <w:color w:val="555555"/>
          <w:sz w:val="17"/>
        </w:rPr>
        <w:t xml:space="preserve">Zitiervorschlag: § 41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https://recht.nulegal.eu/gesetze/GOLT/41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