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GOLT (Brandenburg) — Ausweis der Mitglieder des Landtages und Angaben für die amtliche Veröffentlichung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des Landtages erhalten für die Dauer ihrer Zugehörigkeit zum Landtag einen Ausweis über ihre Mitgliedschaft.</w:t>
      </w:r>
    </w:p>
    <w:p>
      <w:r>
        <w:t xml:space="preserve">(2) Notwendige Angaben für die amtliche Veröffentlichung des Landtages sind gemäß § 26 des Abgeordnetengesetzes zu machen.</w:t>
      </w:r>
    </w:p>
    <w:p>
      <w:r>
        <w:rPr>
          <w:color w:val="555555"/>
          <w:sz w:val="17"/>
        </w:rPr>
        <w:t xml:space="preserve">Zitiervorschlag: § 4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