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GOLT (Brandenburg) — Zutrittsrecht und Anwesenheitspflicht der Mitglieder der Landesregierung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der Landesregierung und ihre Beauftragten haben zu den Sitzungen des Landtages Zutritt.</w:t>
      </w:r>
    </w:p>
    <w:p>
      <w:r>
        <w:t xml:space="preserve">(2) Jedes Mitglied des Landtages kann die Anwesenheit von Mitgliedern der Landesregierung zu einem bestimmten Beratungsgegenstand beantragen.</w:t>
      </w:r>
    </w:p>
    <w:p>
      <w:r>
        <w:t xml:space="preserve">(3) Auf Verlangen mindestens eines Fünftels der anwesenden Mitglieder des Landtages ist ein jedes Mitglied der Landesregierung zur Anwesenheit verpflichtet.</w:t>
      </w:r>
    </w:p>
    <w:p>
      <w:r>
        <w:rPr>
          <w:color w:val="555555"/>
          <w:sz w:val="17"/>
        </w:rPr>
        <w:t xml:space="preserve">Zitiervorschlag: § 30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