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GOLT (Brandenburg) — Zur Geschäftsordnung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Geschäftsordnung erteilt die Präsidentin oder der Präsident vorrangig das Wort.</w:t>
      </w:r>
    </w:p>
    <w:p>
      <w:r>
        <w:t xml:space="preserve">(2) Bemerkungen zur Geschäftsordnung dürfen sich nur auf die geschäftsordnungsgemäße Behandlung der Beratungsgegenstände beziehen und nicht länger als drei Minuten dauern.</w:t>
      </w:r>
    </w:p>
    <w:p>
      <w:r>
        <w:rPr>
          <w:color w:val="555555"/>
          <w:sz w:val="17"/>
        </w:rPr>
        <w:t xml:space="preserve">Zitiervorschlag: § 27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