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GOLT (Brandenburg) — Reihenfolge der Redebeiträge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legt die Reihenfolge der Redebeiträge fest. Dabei soll sie oder er die Sorge für eine sachgemäße Erledigung und zweckmäßige Gestaltung der Beratung, die Rücksicht auf die verschiedenen Fraktionen, auf Rede und Gegenrede und auf die Stärke der Fraktionen leiten.</w:t>
      </w:r>
    </w:p>
    <w:p>
      <w:r>
        <w:t xml:space="preserve">(2) Wer einen Antrag stellt, kann sowohl zu Beginn als auch zum Schluss der Aussprache das Wort erhalten. Die Aussprache soll in der Regel durch eine Vertreterin oder einen Vertreter entgegengesetzter Auffassung fortgeführt werden.</w:t>
      </w:r>
    </w:p>
    <w:p>
      <w:r>
        <w:t xml:space="preserve">(3) Nach der Rede der Ministerpräsidentin oder des Ministerpräsidenten soll die oder der Vorsitzende der zahlenmäßig stärksten Oppositionsfraktion das Wort erhalten. Hiernach erteilt die Präsidentin oder der Präsident den Vorsitzenden der anderen Fraktionen das Wort. Hat eine Fraktion zwei Vorsitzende, hat nur eine oder einer von ihnen Rederecht.</w:t>
      </w:r>
    </w:p>
    <w:p>
      <w:r>
        <w:rPr>
          <w:color w:val="555555"/>
          <w:sz w:val="17"/>
        </w:rPr>
        <w:t xml:space="preserve">Zitiervorschlag: § 26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